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56840" w14:textId="4786CB7B" w:rsidR="00014934" w:rsidRPr="00276F17" w:rsidRDefault="0053653D">
      <w:pPr>
        <w:rPr>
          <w:rFonts w:ascii="VELUXforOffice" w:hAnsi="VELUXforOffice"/>
          <w:sz w:val="20"/>
          <w:szCs w:val="20"/>
          <w:lang w:val="en-GB"/>
        </w:rPr>
      </w:pPr>
      <w:r w:rsidRPr="00276F17">
        <w:rPr>
          <w:rFonts w:ascii="VELUXforOffice" w:hAnsi="VELUXforOffice"/>
          <w:sz w:val="20"/>
          <w:szCs w:val="20"/>
          <w:lang w:val="en-GB"/>
        </w:rPr>
        <w:t>Press release</w:t>
      </w:r>
    </w:p>
    <w:p w14:paraId="57E58658" w14:textId="51F51744" w:rsidR="00276F17" w:rsidRDefault="00276F17">
      <w:pPr>
        <w:rPr>
          <w:rFonts w:ascii="VELUXforOffice" w:hAnsi="VELUXforOffice"/>
          <w:b/>
          <w:bCs/>
          <w:sz w:val="28"/>
          <w:szCs w:val="28"/>
          <w:lang w:val="en-GB"/>
        </w:rPr>
      </w:pPr>
    </w:p>
    <w:p w14:paraId="428A5AD4" w14:textId="77777777" w:rsidR="00276F17" w:rsidRDefault="00276F17">
      <w:pPr>
        <w:rPr>
          <w:rFonts w:ascii="VELUXforOffice" w:hAnsi="VELUXforOffice"/>
          <w:b/>
          <w:bCs/>
          <w:sz w:val="28"/>
          <w:szCs w:val="28"/>
          <w:lang w:val="en-GB"/>
        </w:rPr>
      </w:pPr>
    </w:p>
    <w:p w14:paraId="55FBCB64" w14:textId="74C580A7" w:rsidR="0053653D" w:rsidRPr="00276F17" w:rsidRDefault="00F65DA2">
      <w:pPr>
        <w:rPr>
          <w:rFonts w:ascii="VELUXforOffice" w:hAnsi="VELUXforOffice"/>
          <w:b/>
          <w:bCs/>
          <w:sz w:val="28"/>
          <w:szCs w:val="28"/>
          <w:lang w:val="en-GB"/>
        </w:rPr>
      </w:pPr>
      <w:r w:rsidRPr="00276F17">
        <w:rPr>
          <w:rFonts w:ascii="VELUXforOffice" w:hAnsi="VELUXforOffice"/>
          <w:b/>
          <w:bCs/>
          <w:sz w:val="28"/>
          <w:szCs w:val="28"/>
          <w:lang w:val="en-GB"/>
        </w:rPr>
        <w:t xml:space="preserve">VELUX </w:t>
      </w:r>
      <w:r w:rsidR="00A9490C" w:rsidRPr="00276F17">
        <w:rPr>
          <w:rFonts w:ascii="VELUXforOffice" w:hAnsi="VELUXforOffice"/>
          <w:b/>
          <w:bCs/>
          <w:sz w:val="28"/>
          <w:szCs w:val="28"/>
          <w:lang w:val="en-GB"/>
        </w:rPr>
        <w:t>and</w:t>
      </w:r>
      <w:r w:rsidRPr="00276F17">
        <w:rPr>
          <w:rFonts w:ascii="VELUXforOffice" w:hAnsi="VELUXforOffice"/>
          <w:b/>
          <w:bCs/>
          <w:sz w:val="28"/>
          <w:szCs w:val="28"/>
          <w:lang w:val="en-GB"/>
        </w:rPr>
        <w:t xml:space="preserve"> J</w:t>
      </w:r>
      <w:r w:rsidR="00907EC5" w:rsidRPr="00276F17">
        <w:rPr>
          <w:rFonts w:ascii="VELUXforOffice" w:hAnsi="VELUXforOffice"/>
          <w:b/>
          <w:bCs/>
          <w:sz w:val="28"/>
          <w:szCs w:val="28"/>
          <w:lang w:val="en-GB"/>
        </w:rPr>
        <w:t>ET</w:t>
      </w:r>
      <w:r w:rsidR="0012401E" w:rsidRPr="00276F17">
        <w:rPr>
          <w:rFonts w:ascii="VELUXforOffice" w:hAnsi="VELUXforOffice"/>
          <w:b/>
          <w:bCs/>
          <w:sz w:val="28"/>
          <w:szCs w:val="28"/>
          <w:lang w:val="en-GB"/>
        </w:rPr>
        <w:t xml:space="preserve"> to build a new division: VELUX Commercial</w:t>
      </w:r>
    </w:p>
    <w:p w14:paraId="7EB533C3" w14:textId="6FF05C39" w:rsidR="00245C53" w:rsidRPr="00276F17" w:rsidRDefault="006A6553" w:rsidP="00605327">
      <w:pPr>
        <w:rPr>
          <w:rFonts w:ascii="VELUXforOffice" w:hAnsi="VELUXforOffice"/>
          <w:b/>
          <w:bCs/>
          <w:lang w:val="en-GB"/>
        </w:rPr>
      </w:pPr>
      <w:r w:rsidRPr="00276F17">
        <w:rPr>
          <w:rFonts w:ascii="VELUXforOffice" w:hAnsi="VELUXforOffice"/>
          <w:b/>
          <w:bCs/>
          <w:lang w:val="en-GB"/>
        </w:rPr>
        <w:t xml:space="preserve">VELUX </w:t>
      </w:r>
      <w:r w:rsidR="0042311C" w:rsidRPr="00276F17">
        <w:rPr>
          <w:rFonts w:ascii="VELUXforOffice" w:hAnsi="VELUXforOffice"/>
          <w:b/>
          <w:bCs/>
          <w:lang w:val="en-GB"/>
        </w:rPr>
        <w:t>a</w:t>
      </w:r>
      <w:r w:rsidRPr="00276F17">
        <w:rPr>
          <w:rFonts w:ascii="VELUXforOffice" w:hAnsi="VELUXforOffice"/>
          <w:b/>
          <w:bCs/>
          <w:lang w:val="en-GB"/>
        </w:rPr>
        <w:t xml:space="preserve">cquisition of JET-Group </w:t>
      </w:r>
      <w:r w:rsidR="00122687" w:rsidRPr="00276F17">
        <w:rPr>
          <w:rFonts w:ascii="VELUXforOffice" w:hAnsi="VELUXforOffice"/>
          <w:b/>
          <w:bCs/>
          <w:lang w:val="en-GB"/>
        </w:rPr>
        <w:t xml:space="preserve">was approved </w:t>
      </w:r>
      <w:r w:rsidR="00C84639" w:rsidRPr="00276F17">
        <w:rPr>
          <w:rFonts w:ascii="VELUXforOffice" w:hAnsi="VELUXforOffice"/>
          <w:b/>
          <w:bCs/>
          <w:lang w:val="en-GB"/>
        </w:rPr>
        <w:t xml:space="preserve">on </w:t>
      </w:r>
      <w:r w:rsidRPr="00276F17">
        <w:rPr>
          <w:rFonts w:ascii="VELUXforOffice" w:hAnsi="VELUXforOffice"/>
          <w:b/>
          <w:bCs/>
          <w:lang w:val="en-GB"/>
        </w:rPr>
        <w:t>19th November</w:t>
      </w:r>
      <w:r w:rsidR="00122687" w:rsidRPr="00276F17">
        <w:rPr>
          <w:rFonts w:ascii="VELUXforOffice" w:hAnsi="VELUXforOffice"/>
          <w:b/>
          <w:bCs/>
          <w:lang w:val="en-GB"/>
        </w:rPr>
        <w:t xml:space="preserve"> last year</w:t>
      </w:r>
      <w:r w:rsidR="00AE553A" w:rsidRPr="00276F17">
        <w:rPr>
          <w:rFonts w:ascii="VELUXforOffice" w:hAnsi="VELUXforOffice"/>
          <w:b/>
          <w:bCs/>
          <w:lang w:val="en-GB"/>
        </w:rPr>
        <w:t xml:space="preserve">. Since then, </w:t>
      </w:r>
      <w:r w:rsidR="0012401E" w:rsidRPr="00276F17">
        <w:rPr>
          <w:rFonts w:ascii="VELUXforOffice" w:hAnsi="VELUXforOffice"/>
          <w:b/>
          <w:bCs/>
          <w:lang w:val="en-GB"/>
        </w:rPr>
        <w:t xml:space="preserve">the two companies have taken the </w:t>
      </w:r>
      <w:r w:rsidR="00C84639" w:rsidRPr="00276F17">
        <w:rPr>
          <w:rFonts w:ascii="VELUXforOffice" w:hAnsi="VELUXforOffice"/>
          <w:b/>
          <w:bCs/>
          <w:lang w:val="en-GB"/>
        </w:rPr>
        <w:t>first</w:t>
      </w:r>
      <w:r w:rsidR="0012401E" w:rsidRPr="00276F17">
        <w:rPr>
          <w:rFonts w:ascii="VELUXforOffice" w:hAnsi="VELUXforOffice"/>
          <w:b/>
          <w:bCs/>
          <w:lang w:val="en-GB"/>
        </w:rPr>
        <w:t xml:space="preserve"> steps to build a new division under the VELUX brand</w:t>
      </w:r>
      <w:r w:rsidR="00122687" w:rsidRPr="00276F17">
        <w:rPr>
          <w:rFonts w:ascii="VELUXforOffice" w:hAnsi="VELUXforOffice"/>
          <w:b/>
          <w:bCs/>
          <w:lang w:val="en-GB"/>
        </w:rPr>
        <w:t>. Now they are launching a new logo and visual identity</w:t>
      </w:r>
      <w:r w:rsidR="0012401E" w:rsidRPr="00276F17">
        <w:rPr>
          <w:rFonts w:ascii="VELUXforOffice" w:hAnsi="VELUXforOffice"/>
          <w:b/>
          <w:bCs/>
          <w:lang w:val="en-GB"/>
        </w:rPr>
        <w:t>.</w:t>
      </w:r>
      <w:r w:rsidR="000E2083" w:rsidRPr="00276F17">
        <w:rPr>
          <w:rFonts w:ascii="VELUXforOffice" w:hAnsi="VELUXforOffice"/>
          <w:b/>
          <w:bCs/>
          <w:lang w:val="en-GB"/>
        </w:rPr>
        <w:t xml:space="preserve"> </w:t>
      </w:r>
    </w:p>
    <w:p w14:paraId="17A9D451" w14:textId="11EEA2E6" w:rsidR="004175FF" w:rsidRPr="00276F17" w:rsidRDefault="00FF1611" w:rsidP="006F0D3F">
      <w:pPr>
        <w:tabs>
          <w:tab w:val="left" w:pos="2127"/>
        </w:tabs>
        <w:rPr>
          <w:rFonts w:ascii="VELUXforOffice" w:hAnsi="VELUXforOffice"/>
          <w:sz w:val="20"/>
          <w:szCs w:val="20"/>
          <w:lang w:val="en-GB"/>
        </w:rPr>
      </w:pPr>
      <w:r w:rsidRPr="00276F17">
        <w:rPr>
          <w:rFonts w:ascii="VELUXforOffice" w:hAnsi="VELUXforOffice"/>
          <w:sz w:val="20"/>
          <w:szCs w:val="20"/>
          <w:lang w:val="en-GB"/>
        </w:rPr>
        <w:t>With the acquisition of JET-Group</w:t>
      </w:r>
      <w:r w:rsidR="006B332F" w:rsidRPr="00276F17">
        <w:rPr>
          <w:rFonts w:ascii="VELUXforOffice" w:hAnsi="VELUXforOffice"/>
          <w:sz w:val="20"/>
          <w:szCs w:val="20"/>
          <w:lang w:val="en-GB"/>
        </w:rPr>
        <w:t>,</w:t>
      </w:r>
      <w:r w:rsidRPr="00276F17">
        <w:rPr>
          <w:rFonts w:ascii="VELUXforOffice" w:hAnsi="VELUXforOffice"/>
          <w:sz w:val="20"/>
          <w:szCs w:val="20"/>
          <w:lang w:val="en-GB"/>
        </w:rPr>
        <w:t xml:space="preserve"> </w:t>
      </w:r>
      <w:r w:rsidR="00116D4D" w:rsidRPr="00276F17">
        <w:rPr>
          <w:rFonts w:ascii="VELUXforOffice" w:hAnsi="VELUXforOffice"/>
          <w:sz w:val="20"/>
          <w:szCs w:val="20"/>
          <w:lang w:val="en-GB"/>
        </w:rPr>
        <w:t>the VELUX Group bec</w:t>
      </w:r>
      <w:r w:rsidR="00AE553A" w:rsidRPr="00276F17">
        <w:rPr>
          <w:rFonts w:ascii="VELUXforOffice" w:hAnsi="VELUXforOffice"/>
          <w:sz w:val="20"/>
          <w:szCs w:val="20"/>
          <w:lang w:val="en-GB"/>
        </w:rPr>
        <w:t>ame</w:t>
      </w:r>
      <w:r w:rsidRPr="00276F17">
        <w:rPr>
          <w:rFonts w:ascii="VELUXforOffice" w:hAnsi="VELUXforOffice"/>
          <w:sz w:val="20"/>
          <w:szCs w:val="20"/>
          <w:lang w:val="en-GB"/>
        </w:rPr>
        <w:t xml:space="preserve"> on</w:t>
      </w:r>
      <w:r w:rsidR="00F0295B" w:rsidRPr="00276F17">
        <w:rPr>
          <w:rFonts w:ascii="VELUXforOffice" w:hAnsi="VELUXforOffice"/>
          <w:sz w:val="20"/>
          <w:szCs w:val="20"/>
          <w:lang w:val="en-GB"/>
        </w:rPr>
        <w:t>e of</w:t>
      </w:r>
      <w:r w:rsidRPr="00276F17">
        <w:rPr>
          <w:rFonts w:ascii="VELUXforOffice" w:hAnsi="VELUXforOffice"/>
          <w:sz w:val="20"/>
          <w:szCs w:val="20"/>
          <w:lang w:val="en-GB"/>
        </w:rPr>
        <w:t xml:space="preserve"> the leading players in the </w:t>
      </w:r>
      <w:r w:rsidR="00DE646D" w:rsidRPr="00276F17">
        <w:rPr>
          <w:rFonts w:ascii="VELUXforOffice" w:hAnsi="VELUXforOffice"/>
          <w:sz w:val="20"/>
          <w:szCs w:val="20"/>
          <w:lang w:val="en-GB"/>
        </w:rPr>
        <w:t>c</w:t>
      </w:r>
      <w:r w:rsidRPr="00276F17">
        <w:rPr>
          <w:rFonts w:ascii="VELUXforOffice" w:hAnsi="VELUXforOffice"/>
          <w:sz w:val="20"/>
          <w:szCs w:val="20"/>
          <w:lang w:val="en-GB"/>
        </w:rPr>
        <w:t>ommercial market in Europe</w:t>
      </w:r>
      <w:r w:rsidR="00116D4D" w:rsidRPr="00276F17">
        <w:rPr>
          <w:rFonts w:ascii="VELUXforOffice" w:hAnsi="VELUXforOffice"/>
          <w:sz w:val="20"/>
          <w:szCs w:val="20"/>
          <w:lang w:val="en-GB"/>
        </w:rPr>
        <w:t xml:space="preserve">. </w:t>
      </w:r>
      <w:r w:rsidR="007C7723" w:rsidRPr="00276F17">
        <w:rPr>
          <w:rFonts w:ascii="VELUXforOffice" w:hAnsi="VELUXforOffice"/>
          <w:sz w:val="20"/>
          <w:szCs w:val="20"/>
          <w:lang w:val="en-GB"/>
        </w:rPr>
        <w:t>C</w:t>
      </w:r>
      <w:r w:rsidR="005A2CCA" w:rsidRPr="00276F17">
        <w:rPr>
          <w:rFonts w:ascii="VELUXforOffice" w:hAnsi="VELUXforOffice"/>
          <w:sz w:val="20"/>
          <w:szCs w:val="20"/>
          <w:lang w:val="en-GB"/>
        </w:rPr>
        <w:t xml:space="preserve">ombined with </w:t>
      </w:r>
      <w:r w:rsidR="00E10491" w:rsidRPr="00276F17">
        <w:rPr>
          <w:rFonts w:ascii="VELUXforOffice" w:hAnsi="VELUXforOffice"/>
          <w:sz w:val="20"/>
          <w:szCs w:val="20"/>
          <w:lang w:val="en-GB"/>
        </w:rPr>
        <w:t xml:space="preserve">its </w:t>
      </w:r>
      <w:r w:rsidR="005A2CCA" w:rsidRPr="00276F17">
        <w:rPr>
          <w:rFonts w:ascii="VELUXforOffice" w:hAnsi="VELUXforOffice"/>
          <w:sz w:val="20"/>
          <w:szCs w:val="20"/>
          <w:lang w:val="en-GB"/>
        </w:rPr>
        <w:t xml:space="preserve">recent acquisitions of Wasco and </w:t>
      </w:r>
      <w:proofErr w:type="spellStart"/>
      <w:r w:rsidR="005A2CCA" w:rsidRPr="00276F17">
        <w:rPr>
          <w:rFonts w:ascii="VELUXforOffice" w:hAnsi="VELUXforOffice"/>
          <w:sz w:val="20"/>
          <w:szCs w:val="20"/>
          <w:lang w:val="en-GB"/>
        </w:rPr>
        <w:t>Vitral</w:t>
      </w:r>
      <w:proofErr w:type="spellEnd"/>
      <w:r w:rsidR="005A2CCA" w:rsidRPr="00276F17">
        <w:rPr>
          <w:rFonts w:ascii="VELUXforOffice" w:hAnsi="VELUXforOffice"/>
          <w:sz w:val="20"/>
          <w:szCs w:val="20"/>
          <w:lang w:val="en-GB"/>
        </w:rPr>
        <w:t xml:space="preserve">, and the ongoing </w:t>
      </w:r>
      <w:r w:rsidR="00C7620A" w:rsidRPr="00276F17">
        <w:rPr>
          <w:rFonts w:ascii="VELUXforOffice" w:hAnsi="VELUXforOffice"/>
          <w:sz w:val="20"/>
          <w:szCs w:val="20"/>
          <w:lang w:val="en-GB"/>
        </w:rPr>
        <w:t xml:space="preserve">development of </w:t>
      </w:r>
      <w:r w:rsidR="00544ADE" w:rsidRPr="00276F17">
        <w:rPr>
          <w:rFonts w:ascii="VELUXforOffice" w:hAnsi="VELUXforOffice"/>
          <w:sz w:val="20"/>
          <w:szCs w:val="20"/>
          <w:lang w:val="en-GB"/>
        </w:rPr>
        <w:t>VELUX Modular Skylights</w:t>
      </w:r>
      <w:r w:rsidR="007C7723" w:rsidRPr="00276F17">
        <w:rPr>
          <w:rFonts w:ascii="VELUXforOffice" w:hAnsi="VELUXforOffice"/>
          <w:sz w:val="20"/>
          <w:szCs w:val="20"/>
          <w:lang w:val="en-GB"/>
        </w:rPr>
        <w:t xml:space="preserve">, the VELUX Group will </w:t>
      </w:r>
      <w:r w:rsidR="00C84639" w:rsidRPr="00276F17">
        <w:rPr>
          <w:rFonts w:ascii="VELUXforOffice" w:hAnsi="VELUXforOffice"/>
          <w:sz w:val="20"/>
          <w:szCs w:val="20"/>
          <w:lang w:val="en-GB"/>
        </w:rPr>
        <w:t xml:space="preserve">now </w:t>
      </w:r>
      <w:r w:rsidR="007C7723" w:rsidRPr="00276F17">
        <w:rPr>
          <w:rFonts w:ascii="VELUXforOffice" w:hAnsi="VELUXforOffice"/>
          <w:sz w:val="20"/>
          <w:szCs w:val="20"/>
          <w:lang w:val="en-GB"/>
        </w:rPr>
        <w:t xml:space="preserve">build </w:t>
      </w:r>
      <w:r w:rsidRPr="00276F17">
        <w:rPr>
          <w:rFonts w:ascii="VELUXforOffice" w:hAnsi="VELUXforOffice"/>
          <w:sz w:val="20"/>
          <w:szCs w:val="20"/>
          <w:lang w:val="en-GB"/>
        </w:rPr>
        <w:t xml:space="preserve">a new </w:t>
      </w:r>
      <w:r w:rsidR="00DE646D" w:rsidRPr="00276F17">
        <w:rPr>
          <w:rFonts w:ascii="VELUXforOffice" w:hAnsi="VELUXforOffice"/>
          <w:sz w:val="20"/>
          <w:szCs w:val="20"/>
          <w:lang w:val="en-GB"/>
        </w:rPr>
        <w:t>c</w:t>
      </w:r>
      <w:r w:rsidRPr="00276F17">
        <w:rPr>
          <w:rFonts w:ascii="VELUXforOffice" w:hAnsi="VELUXforOffice"/>
          <w:sz w:val="20"/>
          <w:szCs w:val="20"/>
          <w:lang w:val="en-GB"/>
        </w:rPr>
        <w:t>ommercial division</w:t>
      </w:r>
      <w:r w:rsidR="00116D4D" w:rsidRPr="00276F17">
        <w:rPr>
          <w:rFonts w:ascii="VELUXforOffice" w:hAnsi="VELUXforOffice"/>
          <w:sz w:val="20"/>
          <w:szCs w:val="20"/>
          <w:lang w:val="en-GB"/>
        </w:rPr>
        <w:t xml:space="preserve"> </w:t>
      </w:r>
      <w:r w:rsidR="009B7066" w:rsidRPr="00276F17">
        <w:rPr>
          <w:rFonts w:ascii="VELUXforOffice" w:hAnsi="VELUXforOffice"/>
          <w:sz w:val="20"/>
          <w:szCs w:val="20"/>
          <w:lang w:val="en-GB"/>
        </w:rPr>
        <w:t xml:space="preserve">and grow its business </w:t>
      </w:r>
      <w:r w:rsidR="00116D4D" w:rsidRPr="00276F17">
        <w:rPr>
          <w:rFonts w:ascii="VELUXforOffice" w:hAnsi="VELUXforOffice"/>
          <w:sz w:val="20"/>
          <w:szCs w:val="20"/>
          <w:lang w:val="en-GB"/>
        </w:rPr>
        <w:t>to the benefit of customers</w:t>
      </w:r>
      <w:r w:rsidR="00C84639" w:rsidRPr="00276F17">
        <w:rPr>
          <w:rFonts w:ascii="VELUXforOffice" w:hAnsi="VELUXforOffice"/>
          <w:sz w:val="20"/>
          <w:szCs w:val="20"/>
          <w:lang w:val="en-GB"/>
        </w:rPr>
        <w:t xml:space="preserve"> in the commercial market</w:t>
      </w:r>
      <w:r w:rsidR="00116D4D" w:rsidRPr="00276F17">
        <w:rPr>
          <w:rFonts w:ascii="VELUXforOffice" w:hAnsi="VELUXforOffice"/>
          <w:sz w:val="20"/>
          <w:szCs w:val="20"/>
          <w:lang w:val="en-GB"/>
        </w:rPr>
        <w:t>.</w:t>
      </w:r>
      <w:r w:rsidR="00EA3440" w:rsidRPr="00276F17">
        <w:rPr>
          <w:rFonts w:ascii="VELUXforOffice" w:hAnsi="VELUXforOffice"/>
          <w:sz w:val="20"/>
          <w:szCs w:val="20"/>
          <w:lang w:val="en-GB"/>
        </w:rPr>
        <w:t xml:space="preserve"> On a short-term basis, JET</w:t>
      </w:r>
      <w:r w:rsidR="00962933" w:rsidRPr="00276F17">
        <w:rPr>
          <w:rFonts w:ascii="VELUXforOffice" w:hAnsi="VELUXforOffice"/>
          <w:sz w:val="20"/>
          <w:szCs w:val="20"/>
          <w:lang w:val="en-GB"/>
        </w:rPr>
        <w:t>-</w:t>
      </w:r>
      <w:r w:rsidR="00EA3440" w:rsidRPr="00276F17">
        <w:rPr>
          <w:rFonts w:ascii="VELUXforOffice" w:hAnsi="VELUXforOffice"/>
          <w:sz w:val="20"/>
          <w:szCs w:val="20"/>
          <w:lang w:val="en-GB"/>
        </w:rPr>
        <w:t xml:space="preserve">Group and VELUX Modular Skylights will continue business as usual. </w:t>
      </w:r>
    </w:p>
    <w:p w14:paraId="0CCC2B9E" w14:textId="26E2F23F" w:rsidR="003B67AB" w:rsidRPr="00276F17" w:rsidRDefault="00A55277" w:rsidP="003B4B87">
      <w:pPr>
        <w:rPr>
          <w:rFonts w:ascii="VELUXforOffice" w:hAnsi="VELUXforOffice"/>
          <w:sz w:val="20"/>
          <w:szCs w:val="20"/>
          <w:lang w:val="en-GB"/>
        </w:rPr>
      </w:pPr>
      <w:r w:rsidRPr="00276F17">
        <w:rPr>
          <w:rFonts w:ascii="VELUXforOffice" w:hAnsi="VELUXforOffice"/>
          <w:sz w:val="20"/>
          <w:szCs w:val="20"/>
          <w:lang w:val="en-GB"/>
        </w:rPr>
        <w:t xml:space="preserve">The VELUX Group has </w:t>
      </w:r>
      <w:r w:rsidR="00C84639" w:rsidRPr="00276F17">
        <w:rPr>
          <w:rFonts w:ascii="VELUXforOffice" w:hAnsi="VELUXforOffice"/>
          <w:sz w:val="20"/>
          <w:szCs w:val="20"/>
          <w:lang w:val="en-GB"/>
        </w:rPr>
        <w:t xml:space="preserve">built its business on bringing daylight and fresh air to people’s homes through more than 75 years, and has achieved a </w:t>
      </w:r>
      <w:r w:rsidR="00122687" w:rsidRPr="00276F17">
        <w:rPr>
          <w:rFonts w:ascii="VELUXforOffice" w:hAnsi="VELUXforOffice"/>
          <w:sz w:val="20"/>
          <w:szCs w:val="20"/>
          <w:lang w:val="en-GB"/>
        </w:rPr>
        <w:t xml:space="preserve">clear </w:t>
      </w:r>
      <w:r w:rsidR="00C84639" w:rsidRPr="00276F17">
        <w:rPr>
          <w:rFonts w:ascii="VELUXforOffice" w:hAnsi="VELUXforOffice"/>
          <w:sz w:val="20"/>
          <w:szCs w:val="20"/>
          <w:lang w:val="en-GB"/>
        </w:rPr>
        <w:t xml:space="preserve">market leader position in </w:t>
      </w:r>
      <w:r w:rsidRPr="00276F17">
        <w:rPr>
          <w:rFonts w:ascii="VELUXforOffice" w:hAnsi="VELUXforOffice"/>
          <w:sz w:val="20"/>
          <w:szCs w:val="20"/>
          <w:lang w:val="en-GB"/>
        </w:rPr>
        <w:t>the residential market for roof windows. The VELUX Group’s first step into the commercial (non-residential) market was in 2012</w:t>
      </w:r>
      <w:r w:rsidR="00E77FBF" w:rsidRPr="00276F17">
        <w:rPr>
          <w:rFonts w:ascii="VELUXforOffice" w:hAnsi="VELUXforOffice"/>
          <w:sz w:val="20"/>
          <w:szCs w:val="20"/>
          <w:lang w:val="en-GB"/>
        </w:rPr>
        <w:t>,</w:t>
      </w:r>
      <w:r w:rsidRPr="00276F17">
        <w:rPr>
          <w:rFonts w:ascii="VELUXforOffice" w:hAnsi="VELUXforOffice"/>
          <w:sz w:val="20"/>
          <w:szCs w:val="20"/>
          <w:lang w:val="en-GB"/>
        </w:rPr>
        <w:t xml:space="preserve"> when it launched VELUX Modular Skylight</w:t>
      </w:r>
      <w:r w:rsidR="00AE553A" w:rsidRPr="00276F17">
        <w:rPr>
          <w:rFonts w:ascii="VELUXforOffice" w:hAnsi="VELUXforOffice"/>
          <w:sz w:val="20"/>
          <w:szCs w:val="20"/>
          <w:lang w:val="en-GB"/>
        </w:rPr>
        <w:t>s</w:t>
      </w:r>
      <w:r w:rsidR="003B67AB" w:rsidRPr="00276F17">
        <w:rPr>
          <w:rFonts w:ascii="VELUXforOffice" w:hAnsi="VELUXforOffice"/>
          <w:sz w:val="20"/>
          <w:szCs w:val="20"/>
          <w:lang w:val="en-GB"/>
        </w:rPr>
        <w:t xml:space="preserve"> with a strong ambition to bring daylight and fresh air into commercial buildings too. </w:t>
      </w:r>
    </w:p>
    <w:p w14:paraId="0BD72543" w14:textId="77777777" w:rsidR="002C06FC" w:rsidRPr="00276F17" w:rsidRDefault="002C06FC" w:rsidP="002C06FC">
      <w:pPr>
        <w:rPr>
          <w:rFonts w:ascii="VELUXforOffice" w:hAnsi="VELUXforOffice"/>
          <w:sz w:val="20"/>
          <w:szCs w:val="20"/>
          <w:lang w:val="en-GB"/>
        </w:rPr>
      </w:pPr>
      <w:r w:rsidRPr="00276F17">
        <w:rPr>
          <w:rFonts w:ascii="VELUXforOffice" w:hAnsi="VELUXforOffice"/>
          <w:sz w:val="20"/>
          <w:szCs w:val="20"/>
          <w:lang w:val="en-GB"/>
        </w:rPr>
        <w:t>The commercial market consists of two main segments:</w:t>
      </w:r>
    </w:p>
    <w:p w14:paraId="57BD381B" w14:textId="6D854D5D" w:rsidR="002C06FC" w:rsidRPr="00276F17" w:rsidRDefault="002C06FC" w:rsidP="005B13F2">
      <w:pPr>
        <w:pStyle w:val="ListParagraph"/>
        <w:numPr>
          <w:ilvl w:val="0"/>
          <w:numId w:val="2"/>
        </w:numPr>
        <w:rPr>
          <w:rFonts w:ascii="VELUXforOffice" w:hAnsi="VELUXforOffice"/>
          <w:sz w:val="20"/>
          <w:szCs w:val="20"/>
          <w:lang w:val="en-GB"/>
        </w:rPr>
      </w:pPr>
      <w:r w:rsidRPr="00276F17">
        <w:rPr>
          <w:rFonts w:ascii="VELUXforOffice" w:hAnsi="VELUXforOffice"/>
          <w:sz w:val="20"/>
          <w:szCs w:val="20"/>
          <w:lang w:val="en-GB"/>
        </w:rPr>
        <w:t xml:space="preserve">An architectural glazing segment, </w:t>
      </w:r>
      <w:r w:rsidR="00C84639" w:rsidRPr="00276F17">
        <w:rPr>
          <w:rFonts w:ascii="VELUXforOffice" w:hAnsi="VELUXforOffice"/>
          <w:sz w:val="20"/>
          <w:szCs w:val="20"/>
          <w:lang w:val="en-GB"/>
        </w:rPr>
        <w:t xml:space="preserve">focussed </w:t>
      </w:r>
      <w:r w:rsidRPr="00276F17">
        <w:rPr>
          <w:rFonts w:ascii="VELUXforOffice" w:hAnsi="VELUXforOffice"/>
          <w:sz w:val="20"/>
          <w:szCs w:val="20"/>
          <w:lang w:val="en-GB"/>
        </w:rPr>
        <w:t xml:space="preserve">on design, with architects playing a significant role in selecting glass or acrylic glazing </w:t>
      </w:r>
      <w:r w:rsidR="00C84639" w:rsidRPr="00276F17">
        <w:rPr>
          <w:rFonts w:ascii="VELUXforOffice" w:hAnsi="VELUXforOffice"/>
          <w:sz w:val="20"/>
          <w:szCs w:val="20"/>
          <w:lang w:val="en-GB"/>
        </w:rPr>
        <w:t>solutions</w:t>
      </w:r>
    </w:p>
    <w:p w14:paraId="51F8E66A" w14:textId="5B7E7A21" w:rsidR="002C06FC" w:rsidRPr="00276F17" w:rsidRDefault="002C06FC" w:rsidP="00962933">
      <w:pPr>
        <w:pStyle w:val="ListParagraph"/>
        <w:numPr>
          <w:ilvl w:val="0"/>
          <w:numId w:val="2"/>
        </w:numPr>
        <w:rPr>
          <w:rFonts w:ascii="VELUXforOffice" w:hAnsi="VELUXforOffice"/>
          <w:sz w:val="20"/>
          <w:szCs w:val="20"/>
          <w:lang w:val="en-GB"/>
        </w:rPr>
      </w:pPr>
      <w:r w:rsidRPr="00276F17">
        <w:rPr>
          <w:rFonts w:ascii="VELUXforOffice" w:hAnsi="VELUXforOffice"/>
          <w:sz w:val="20"/>
          <w:szCs w:val="20"/>
          <w:lang w:val="en-GB"/>
        </w:rPr>
        <w:t>An industrial flat roof segment, which consists almost entirely of acrylic solutions, such as domes</w:t>
      </w:r>
      <w:r w:rsidR="00A67797" w:rsidRPr="00276F17">
        <w:rPr>
          <w:rFonts w:ascii="VELUXforOffice" w:hAnsi="VELUXforOffice"/>
          <w:sz w:val="20"/>
          <w:szCs w:val="20"/>
          <w:lang w:val="en-GB"/>
        </w:rPr>
        <w:t>,</w:t>
      </w:r>
      <w:r w:rsidRPr="00276F17">
        <w:rPr>
          <w:rFonts w:ascii="VELUXforOffice" w:hAnsi="VELUXforOffice"/>
          <w:sz w:val="20"/>
          <w:szCs w:val="20"/>
          <w:lang w:val="en-GB"/>
        </w:rPr>
        <w:t xml:space="preserve"> continuous roof lights (CRLs)</w:t>
      </w:r>
      <w:r w:rsidR="00A67797" w:rsidRPr="00276F17">
        <w:rPr>
          <w:rFonts w:ascii="VELUXforOffice" w:hAnsi="VELUXforOffice"/>
          <w:sz w:val="20"/>
          <w:szCs w:val="20"/>
          <w:lang w:val="en-GB"/>
        </w:rPr>
        <w:t xml:space="preserve"> and smoke- and heat ventilation exhaust solutions</w:t>
      </w:r>
      <w:r w:rsidRPr="00276F17">
        <w:rPr>
          <w:rFonts w:ascii="VELUXforOffice" w:hAnsi="VELUXforOffice"/>
          <w:sz w:val="20"/>
          <w:szCs w:val="20"/>
          <w:lang w:val="en-GB"/>
        </w:rPr>
        <w:t>.</w:t>
      </w:r>
    </w:p>
    <w:p w14:paraId="54AC46D3" w14:textId="579632DB" w:rsidR="002C06FC" w:rsidRPr="00276F17" w:rsidRDefault="002C06FC" w:rsidP="002C06FC">
      <w:pPr>
        <w:rPr>
          <w:rFonts w:ascii="VELUXforOffice" w:hAnsi="VELUXforOffice"/>
          <w:sz w:val="20"/>
          <w:szCs w:val="20"/>
          <w:lang w:val="en-GB"/>
        </w:rPr>
      </w:pPr>
      <w:r w:rsidRPr="00276F17">
        <w:rPr>
          <w:rFonts w:ascii="VELUXforOffice" w:hAnsi="VELUXforOffice"/>
          <w:sz w:val="20"/>
          <w:szCs w:val="20"/>
          <w:lang w:val="en-GB"/>
        </w:rPr>
        <w:t xml:space="preserve">The two segments vary significantly in </w:t>
      </w:r>
      <w:r w:rsidR="00C84639" w:rsidRPr="00276F17">
        <w:rPr>
          <w:rFonts w:ascii="VELUXforOffice" w:hAnsi="VELUXforOffice"/>
          <w:sz w:val="20"/>
          <w:szCs w:val="20"/>
          <w:lang w:val="en-GB"/>
        </w:rPr>
        <w:t xml:space="preserve">terms of </w:t>
      </w:r>
      <w:r w:rsidRPr="00276F17">
        <w:rPr>
          <w:rFonts w:ascii="VELUXforOffice" w:hAnsi="VELUXforOffice"/>
          <w:sz w:val="20"/>
          <w:szCs w:val="20"/>
          <w:lang w:val="en-GB"/>
        </w:rPr>
        <w:t xml:space="preserve">customer groups and sales processes. </w:t>
      </w:r>
      <w:r w:rsidR="00C84639" w:rsidRPr="00276F17">
        <w:rPr>
          <w:rFonts w:ascii="VELUXforOffice" w:hAnsi="VELUXforOffice"/>
          <w:sz w:val="20"/>
          <w:szCs w:val="20"/>
          <w:lang w:val="en-GB"/>
        </w:rPr>
        <w:t>VELUX has a strong</w:t>
      </w:r>
      <w:r w:rsidRPr="00276F17">
        <w:rPr>
          <w:rFonts w:ascii="VELUXforOffice" w:hAnsi="VELUXforOffice"/>
          <w:sz w:val="20"/>
          <w:szCs w:val="20"/>
          <w:lang w:val="en-GB"/>
        </w:rPr>
        <w:t xml:space="preserve"> presence in the architectural glazing segment </w:t>
      </w:r>
      <w:r w:rsidR="00C84639" w:rsidRPr="00276F17">
        <w:rPr>
          <w:rFonts w:ascii="VELUXforOffice" w:hAnsi="VELUXforOffice"/>
          <w:sz w:val="20"/>
          <w:szCs w:val="20"/>
          <w:lang w:val="en-GB"/>
        </w:rPr>
        <w:t xml:space="preserve">with VELUX Modular Skylights, </w:t>
      </w:r>
      <w:r w:rsidRPr="00276F17">
        <w:rPr>
          <w:rFonts w:ascii="VELUXforOffice" w:hAnsi="VELUXforOffice"/>
          <w:sz w:val="20"/>
          <w:szCs w:val="20"/>
          <w:lang w:val="en-GB"/>
        </w:rPr>
        <w:t xml:space="preserve">while JET has a leading position in the </w:t>
      </w:r>
      <w:r w:rsidR="00C94195" w:rsidRPr="00276F17">
        <w:rPr>
          <w:rFonts w:ascii="VELUXforOffice" w:hAnsi="VELUXforOffice"/>
          <w:sz w:val="20"/>
          <w:szCs w:val="20"/>
          <w:lang w:val="en-GB"/>
        </w:rPr>
        <w:t>i</w:t>
      </w:r>
      <w:r w:rsidRPr="00276F17">
        <w:rPr>
          <w:rFonts w:ascii="VELUXforOffice" w:hAnsi="VELUXforOffice"/>
          <w:sz w:val="20"/>
          <w:szCs w:val="20"/>
          <w:lang w:val="en-GB"/>
        </w:rPr>
        <w:t>ndustrial flat roof segment</w:t>
      </w:r>
      <w:r w:rsidR="00122687" w:rsidRPr="00276F17">
        <w:rPr>
          <w:rFonts w:ascii="VELUXforOffice" w:hAnsi="VELUXforOffice"/>
          <w:sz w:val="20"/>
          <w:szCs w:val="20"/>
          <w:lang w:val="en-GB"/>
        </w:rPr>
        <w:t>, and VELUX Commercial will cover both segments</w:t>
      </w:r>
      <w:r w:rsidRPr="00276F17">
        <w:rPr>
          <w:rFonts w:ascii="VELUXforOffice" w:hAnsi="VELUXforOffice"/>
          <w:sz w:val="20"/>
          <w:szCs w:val="20"/>
          <w:lang w:val="en-GB"/>
        </w:rPr>
        <w:t>.</w:t>
      </w:r>
    </w:p>
    <w:p w14:paraId="7025F014" w14:textId="1EDE0930" w:rsidR="002C06FC" w:rsidRPr="00276F17" w:rsidRDefault="009B7066" w:rsidP="009B7066">
      <w:pPr>
        <w:tabs>
          <w:tab w:val="left" w:pos="2127"/>
        </w:tabs>
        <w:rPr>
          <w:rFonts w:ascii="VELUXforOffice" w:hAnsi="VELUXforOffice"/>
          <w:sz w:val="20"/>
          <w:szCs w:val="20"/>
          <w:lang w:val="en-GB"/>
        </w:rPr>
      </w:pPr>
      <w:r w:rsidRPr="00276F17">
        <w:rPr>
          <w:rFonts w:ascii="VELUXforOffice" w:eastAsia="VELUXforOffice" w:hAnsi="VELUXforOffice" w:cs="VELUXforOffice"/>
          <w:sz w:val="20"/>
          <w:szCs w:val="20"/>
          <w:lang w:val="en-GB"/>
        </w:rPr>
        <w:t>“We are looking forward to work together</w:t>
      </w:r>
      <w:r w:rsidR="000B0052" w:rsidRPr="00276F17">
        <w:rPr>
          <w:rFonts w:ascii="VELUXforOffice" w:eastAsia="VELUXforOffice" w:hAnsi="VELUXforOffice" w:cs="VELUXforOffice"/>
          <w:sz w:val="20"/>
          <w:szCs w:val="20"/>
          <w:lang w:val="en-GB"/>
        </w:rPr>
        <w:t xml:space="preserve"> on</w:t>
      </w:r>
      <w:r w:rsidRPr="00276F17">
        <w:rPr>
          <w:rFonts w:ascii="VELUXforOffice" w:eastAsia="VELUXforOffice" w:hAnsi="VELUXforOffice" w:cs="VELUXforOffice"/>
          <w:sz w:val="20"/>
          <w:szCs w:val="20"/>
          <w:lang w:val="en-GB"/>
        </w:rPr>
        <w:t xml:space="preserve"> build</w:t>
      </w:r>
      <w:r w:rsidR="000B0052" w:rsidRPr="00276F17">
        <w:rPr>
          <w:rFonts w:ascii="VELUXforOffice" w:eastAsia="VELUXforOffice" w:hAnsi="VELUXforOffice" w:cs="VELUXforOffice"/>
          <w:sz w:val="20"/>
          <w:szCs w:val="20"/>
          <w:lang w:val="en-GB"/>
        </w:rPr>
        <w:t>ing</w:t>
      </w:r>
      <w:r w:rsidRPr="00276F17">
        <w:rPr>
          <w:rFonts w:ascii="VELUXforOffice" w:eastAsia="VELUXforOffice" w:hAnsi="VELUXforOffice" w:cs="VELUXforOffice"/>
          <w:sz w:val="20"/>
          <w:szCs w:val="20"/>
          <w:lang w:val="en-GB"/>
        </w:rPr>
        <w:t xml:space="preserve"> the new commercial division under the VELUX brand. We see growth potential and possibilities to strengthen our business to the benefit of customers and employees,” says Ralf Dahmer, CEO of JET-Group.</w:t>
      </w:r>
      <w:r w:rsidRPr="00276F17">
        <w:rPr>
          <w:rFonts w:ascii="VELUXforOffice" w:hAnsi="VELUXforOffice"/>
          <w:sz w:val="20"/>
          <w:szCs w:val="20"/>
          <w:lang w:val="en-GB"/>
        </w:rPr>
        <w:t xml:space="preserve"> </w:t>
      </w:r>
      <w:r w:rsidR="002C06FC" w:rsidRPr="00276F17">
        <w:rPr>
          <w:rFonts w:ascii="VELUXforOffice" w:eastAsia="VELUXforOffice" w:hAnsi="VELUXforOffice" w:cs="VELUXforOffice"/>
          <w:sz w:val="20"/>
          <w:szCs w:val="20"/>
          <w:lang w:val="en-GB"/>
        </w:rPr>
        <w:t xml:space="preserve">Ralf Dahmer will head the </w:t>
      </w:r>
      <w:bookmarkStart w:id="0" w:name="_Hlk534627131"/>
      <w:r w:rsidR="002C06FC" w:rsidRPr="00276F17">
        <w:rPr>
          <w:rFonts w:ascii="VELUXforOffice" w:eastAsia="VELUXforOffice" w:hAnsi="VELUXforOffice" w:cs="VELUXforOffice"/>
          <w:sz w:val="20"/>
          <w:szCs w:val="20"/>
          <w:lang w:val="en-GB"/>
        </w:rPr>
        <w:t>operating area for the industrial flat roof segment</w:t>
      </w:r>
      <w:bookmarkEnd w:id="0"/>
      <w:r w:rsidR="002C06FC" w:rsidRPr="00276F17">
        <w:rPr>
          <w:rFonts w:ascii="VELUXforOffice" w:eastAsia="VELUXforOffice" w:hAnsi="VELUXforOffice" w:cs="VELUXforOffice"/>
          <w:sz w:val="20"/>
          <w:szCs w:val="20"/>
          <w:lang w:val="en-GB"/>
        </w:rPr>
        <w:t xml:space="preserve"> in VELUX Commercial.</w:t>
      </w:r>
    </w:p>
    <w:p w14:paraId="3761C1C8" w14:textId="684B014B" w:rsidR="00C34ADD" w:rsidRPr="00276F17" w:rsidRDefault="00E4563C" w:rsidP="002C06FC">
      <w:pPr>
        <w:rPr>
          <w:rFonts w:ascii="VELUXforOffice" w:hAnsi="VELUXforOffice"/>
          <w:sz w:val="20"/>
          <w:szCs w:val="20"/>
          <w:lang w:val="en-GB"/>
        </w:rPr>
      </w:pPr>
      <w:r w:rsidRPr="00276F17">
        <w:rPr>
          <w:rFonts w:ascii="VELUXforOffice" w:hAnsi="VELUXforOffice"/>
          <w:sz w:val="20"/>
          <w:szCs w:val="20"/>
          <w:lang w:val="en-GB"/>
        </w:rPr>
        <w:t>“</w:t>
      </w:r>
      <w:r w:rsidR="003B67AB" w:rsidRPr="00276F17">
        <w:rPr>
          <w:rFonts w:ascii="VELUXforOffice" w:hAnsi="VELUXforOffice"/>
          <w:sz w:val="20"/>
          <w:szCs w:val="20"/>
          <w:lang w:val="en-GB"/>
        </w:rPr>
        <w:t xml:space="preserve">Our </w:t>
      </w:r>
      <w:r w:rsidR="00003C40" w:rsidRPr="00276F17">
        <w:rPr>
          <w:rFonts w:ascii="VELUXforOffice" w:hAnsi="VELUXforOffice"/>
          <w:sz w:val="20"/>
          <w:szCs w:val="20"/>
          <w:lang w:val="en-GB"/>
        </w:rPr>
        <w:t xml:space="preserve">strategy is to grow our business by </w:t>
      </w:r>
      <w:r w:rsidR="003B67AB" w:rsidRPr="00276F17">
        <w:rPr>
          <w:rFonts w:ascii="VELUXforOffice" w:hAnsi="VELUXforOffice"/>
          <w:sz w:val="20"/>
          <w:szCs w:val="20"/>
          <w:lang w:val="en-GB"/>
        </w:rPr>
        <w:t>bring</w:t>
      </w:r>
      <w:r w:rsidR="00003C40" w:rsidRPr="00276F17">
        <w:rPr>
          <w:rFonts w:ascii="VELUXforOffice" w:hAnsi="VELUXforOffice"/>
          <w:sz w:val="20"/>
          <w:szCs w:val="20"/>
          <w:lang w:val="en-GB"/>
        </w:rPr>
        <w:t>ing</w:t>
      </w:r>
      <w:r w:rsidR="003B67AB" w:rsidRPr="00276F17">
        <w:rPr>
          <w:rFonts w:ascii="VELUXforOffice" w:hAnsi="VELUXforOffice"/>
          <w:sz w:val="20"/>
          <w:szCs w:val="20"/>
          <w:lang w:val="en-GB"/>
        </w:rPr>
        <w:t xml:space="preserve"> </w:t>
      </w:r>
      <w:r w:rsidR="00003C40" w:rsidRPr="00276F17">
        <w:rPr>
          <w:rFonts w:ascii="VELUXforOffice" w:hAnsi="VELUXforOffice"/>
          <w:sz w:val="20"/>
          <w:szCs w:val="20"/>
          <w:lang w:val="en-GB"/>
        </w:rPr>
        <w:t xml:space="preserve">daylight </w:t>
      </w:r>
      <w:r w:rsidR="003B67AB" w:rsidRPr="00276F17">
        <w:rPr>
          <w:rFonts w:ascii="VELUXforOffice" w:hAnsi="VELUXforOffice"/>
          <w:sz w:val="20"/>
          <w:szCs w:val="20"/>
          <w:lang w:val="en-GB"/>
        </w:rPr>
        <w:t>to people in commercial buildings</w:t>
      </w:r>
      <w:r w:rsidR="00003C40" w:rsidRPr="00276F17">
        <w:rPr>
          <w:rFonts w:ascii="VELUXforOffice" w:hAnsi="VELUXforOffice"/>
          <w:sz w:val="20"/>
          <w:szCs w:val="20"/>
          <w:lang w:val="en-GB"/>
        </w:rPr>
        <w:t>, and by joining forces with JET, we gain scale</w:t>
      </w:r>
      <w:r w:rsidR="00C94195" w:rsidRPr="00276F17">
        <w:rPr>
          <w:rFonts w:ascii="VELUXforOffice" w:hAnsi="VELUXforOffice"/>
          <w:sz w:val="20"/>
          <w:szCs w:val="20"/>
          <w:lang w:val="en-GB"/>
        </w:rPr>
        <w:t xml:space="preserve"> and we enter a whole new segment</w:t>
      </w:r>
      <w:r w:rsidR="003B67AB" w:rsidRPr="00276F17">
        <w:rPr>
          <w:rFonts w:ascii="VELUXforOffice" w:hAnsi="VELUXforOffice"/>
          <w:sz w:val="20"/>
          <w:szCs w:val="20"/>
          <w:lang w:val="en-GB"/>
        </w:rPr>
        <w:t xml:space="preserve">. </w:t>
      </w:r>
      <w:r w:rsidR="000B0052" w:rsidRPr="00276F17">
        <w:rPr>
          <w:rFonts w:ascii="VELUXforOffice" w:hAnsi="VELUXforOffice"/>
          <w:sz w:val="20"/>
          <w:szCs w:val="20"/>
          <w:lang w:val="en-GB"/>
        </w:rPr>
        <w:t>T</w:t>
      </w:r>
      <w:r w:rsidR="00C34ADD" w:rsidRPr="00276F17">
        <w:rPr>
          <w:rFonts w:ascii="VELUXforOffice" w:hAnsi="VELUXforOffice"/>
          <w:sz w:val="20"/>
          <w:szCs w:val="20"/>
          <w:lang w:val="en-GB"/>
        </w:rPr>
        <w:t>he product</w:t>
      </w:r>
      <w:r w:rsidR="003B67AB" w:rsidRPr="00276F17">
        <w:rPr>
          <w:rFonts w:ascii="VELUXforOffice" w:hAnsi="VELUXforOffice"/>
          <w:sz w:val="20"/>
          <w:szCs w:val="20"/>
          <w:lang w:val="en-GB"/>
        </w:rPr>
        <w:t>s</w:t>
      </w:r>
      <w:r w:rsidR="00C34ADD" w:rsidRPr="00276F17">
        <w:rPr>
          <w:rFonts w:ascii="VELUXforOffice" w:hAnsi="VELUXforOffice"/>
          <w:sz w:val="20"/>
          <w:szCs w:val="20"/>
          <w:lang w:val="en-GB"/>
        </w:rPr>
        <w:t xml:space="preserve"> and the sales process in the commercial market </w:t>
      </w:r>
      <w:r w:rsidR="003B67AB" w:rsidRPr="00276F17">
        <w:rPr>
          <w:rFonts w:ascii="VELUXforOffice" w:hAnsi="VELUXforOffice"/>
          <w:sz w:val="20"/>
          <w:szCs w:val="20"/>
          <w:lang w:val="en-GB"/>
        </w:rPr>
        <w:t>are</w:t>
      </w:r>
      <w:r w:rsidR="00C34ADD" w:rsidRPr="00276F17">
        <w:rPr>
          <w:rFonts w:ascii="VELUXforOffice" w:hAnsi="VELUXforOffice"/>
          <w:sz w:val="20"/>
          <w:szCs w:val="20"/>
          <w:lang w:val="en-GB"/>
        </w:rPr>
        <w:t xml:space="preserve"> quite different from the residential market</w:t>
      </w:r>
      <w:r w:rsidR="00A66F4C" w:rsidRPr="00276F17">
        <w:rPr>
          <w:rFonts w:ascii="VELUXforOffice" w:hAnsi="VELUXforOffice"/>
          <w:sz w:val="20"/>
          <w:szCs w:val="20"/>
          <w:lang w:val="en-GB"/>
        </w:rPr>
        <w:t>, and to meet the specific needs of the commercial market, we</w:t>
      </w:r>
      <w:r w:rsidR="003B67AB" w:rsidRPr="00276F17">
        <w:rPr>
          <w:rFonts w:ascii="VELUXforOffice" w:hAnsi="VELUXforOffice"/>
          <w:sz w:val="20"/>
          <w:szCs w:val="20"/>
          <w:lang w:val="en-GB"/>
        </w:rPr>
        <w:t xml:space="preserve"> </w:t>
      </w:r>
      <w:r w:rsidR="00A66F4C" w:rsidRPr="00276F17">
        <w:rPr>
          <w:rFonts w:ascii="VELUXforOffice" w:hAnsi="VELUXforOffice"/>
          <w:sz w:val="20"/>
          <w:szCs w:val="20"/>
          <w:lang w:val="en-GB"/>
        </w:rPr>
        <w:t xml:space="preserve">are now </w:t>
      </w:r>
      <w:r w:rsidR="003B67AB" w:rsidRPr="00276F17">
        <w:rPr>
          <w:rFonts w:ascii="VELUXforOffice" w:hAnsi="VELUXforOffice"/>
          <w:sz w:val="20"/>
          <w:szCs w:val="20"/>
          <w:lang w:val="en-GB"/>
        </w:rPr>
        <w:t>build</w:t>
      </w:r>
      <w:r w:rsidR="00A66F4C" w:rsidRPr="00276F17">
        <w:rPr>
          <w:rFonts w:ascii="VELUXforOffice" w:hAnsi="VELUXforOffice"/>
          <w:sz w:val="20"/>
          <w:szCs w:val="20"/>
          <w:lang w:val="en-GB"/>
        </w:rPr>
        <w:t>ing</w:t>
      </w:r>
      <w:r w:rsidR="003B67AB" w:rsidRPr="00276F17">
        <w:rPr>
          <w:rFonts w:ascii="VELUXforOffice" w:hAnsi="VELUXforOffice"/>
          <w:sz w:val="20"/>
          <w:szCs w:val="20"/>
          <w:lang w:val="en-GB"/>
        </w:rPr>
        <w:t xml:space="preserve"> a </w:t>
      </w:r>
      <w:r w:rsidR="00A66F4C" w:rsidRPr="00276F17">
        <w:rPr>
          <w:rFonts w:ascii="VELUXforOffice" w:hAnsi="VELUXforOffice"/>
          <w:sz w:val="20"/>
          <w:szCs w:val="20"/>
          <w:lang w:val="en-GB"/>
        </w:rPr>
        <w:t xml:space="preserve">new </w:t>
      </w:r>
      <w:r w:rsidR="003B67AB" w:rsidRPr="00276F17">
        <w:rPr>
          <w:rFonts w:ascii="VELUXforOffice" w:hAnsi="VELUXforOffice"/>
          <w:sz w:val="20"/>
          <w:szCs w:val="20"/>
          <w:lang w:val="en-GB"/>
        </w:rPr>
        <w:t>division</w:t>
      </w:r>
      <w:r w:rsidR="00A66F4C" w:rsidRPr="00276F17">
        <w:rPr>
          <w:rFonts w:ascii="VELUXforOffice" w:hAnsi="VELUXforOffice"/>
          <w:sz w:val="20"/>
          <w:szCs w:val="20"/>
          <w:lang w:val="en-GB"/>
        </w:rPr>
        <w:t>; VELUX Commercial</w:t>
      </w:r>
      <w:r w:rsidRPr="00276F17">
        <w:rPr>
          <w:rFonts w:ascii="VELUXforOffice" w:hAnsi="VELUXforOffice"/>
          <w:sz w:val="20"/>
          <w:szCs w:val="20"/>
          <w:lang w:val="en-GB"/>
        </w:rPr>
        <w:t xml:space="preserve">”, says Henrik Øvlisen, VP of </w:t>
      </w:r>
      <w:r w:rsidR="003B67AB" w:rsidRPr="00276F17">
        <w:rPr>
          <w:rFonts w:ascii="VELUXforOffice" w:hAnsi="VELUXforOffice"/>
          <w:sz w:val="20"/>
          <w:szCs w:val="20"/>
          <w:lang w:val="en-GB"/>
        </w:rPr>
        <w:t>VELUX Modular Skylights</w:t>
      </w:r>
      <w:r w:rsidR="00A66F4C" w:rsidRPr="00276F17">
        <w:rPr>
          <w:rFonts w:ascii="VELUXforOffice" w:hAnsi="VELUXforOffice"/>
          <w:sz w:val="20"/>
          <w:szCs w:val="20"/>
          <w:lang w:val="en-GB"/>
        </w:rPr>
        <w:t xml:space="preserve">, who will </w:t>
      </w:r>
      <w:r w:rsidR="003B67AB" w:rsidRPr="00276F17">
        <w:rPr>
          <w:rFonts w:ascii="VELUXforOffice" w:hAnsi="VELUXforOffice"/>
          <w:sz w:val="20"/>
          <w:szCs w:val="20"/>
          <w:lang w:val="en-GB"/>
        </w:rPr>
        <w:t xml:space="preserve">head the </w:t>
      </w:r>
      <w:bookmarkStart w:id="1" w:name="_Hlk534627165"/>
      <w:r w:rsidR="003B67AB" w:rsidRPr="00276F17">
        <w:rPr>
          <w:rFonts w:ascii="VELUXforOffice" w:hAnsi="VELUXforOffice"/>
          <w:sz w:val="20"/>
          <w:szCs w:val="20"/>
          <w:lang w:val="en-GB"/>
        </w:rPr>
        <w:t xml:space="preserve">operating area </w:t>
      </w:r>
      <w:r w:rsidR="000B2D20" w:rsidRPr="00276F17">
        <w:rPr>
          <w:rFonts w:ascii="VELUXforOffice" w:hAnsi="VELUXforOffice"/>
          <w:sz w:val="20"/>
          <w:szCs w:val="20"/>
          <w:lang w:val="en-GB"/>
        </w:rPr>
        <w:t xml:space="preserve">for </w:t>
      </w:r>
      <w:r w:rsidR="003B67AB" w:rsidRPr="00276F17">
        <w:rPr>
          <w:rFonts w:ascii="VELUXforOffice" w:hAnsi="VELUXforOffice"/>
          <w:sz w:val="20"/>
          <w:szCs w:val="20"/>
          <w:lang w:val="en-GB"/>
        </w:rPr>
        <w:t>architectural glazing</w:t>
      </w:r>
      <w:bookmarkEnd w:id="1"/>
      <w:r w:rsidR="003B67AB" w:rsidRPr="00276F17">
        <w:rPr>
          <w:rFonts w:ascii="VELUXforOffice" w:hAnsi="VELUXforOffice"/>
          <w:sz w:val="20"/>
          <w:szCs w:val="20"/>
          <w:lang w:val="en-GB"/>
        </w:rPr>
        <w:t xml:space="preserve"> in VELUX Commercial.</w:t>
      </w:r>
    </w:p>
    <w:p w14:paraId="04247919" w14:textId="30B0C68B" w:rsidR="00A66F4C" w:rsidRPr="00276F17" w:rsidRDefault="00A66F4C" w:rsidP="00A66F4C">
      <w:pPr>
        <w:rPr>
          <w:rFonts w:ascii="VELUXforOffice" w:hAnsi="VELUXforOffice"/>
          <w:sz w:val="20"/>
          <w:szCs w:val="20"/>
          <w:lang w:val="en-GB"/>
        </w:rPr>
      </w:pPr>
      <w:r w:rsidRPr="00276F17">
        <w:rPr>
          <w:rFonts w:ascii="VELUXforOffice" w:hAnsi="VELUXforOffice"/>
          <w:sz w:val="20"/>
          <w:szCs w:val="20"/>
          <w:lang w:val="en-GB"/>
        </w:rPr>
        <w:t>T</w:t>
      </w:r>
      <w:r w:rsidR="00D70CF7" w:rsidRPr="00276F17">
        <w:rPr>
          <w:rFonts w:ascii="VELUXforOffice" w:hAnsi="VELUXforOffice"/>
          <w:sz w:val="20"/>
          <w:szCs w:val="20"/>
          <w:lang w:val="en-GB"/>
        </w:rPr>
        <w:t>o</w:t>
      </w:r>
      <w:r w:rsidRPr="00276F17">
        <w:rPr>
          <w:rFonts w:ascii="VELUXforOffice" w:hAnsi="VELUXforOffice"/>
          <w:sz w:val="20"/>
          <w:szCs w:val="20"/>
          <w:lang w:val="en-GB"/>
        </w:rPr>
        <w:t xml:space="preserve"> </w:t>
      </w:r>
      <w:r w:rsidR="00122687" w:rsidRPr="00276F17">
        <w:rPr>
          <w:rFonts w:ascii="VELUXforOffice" w:hAnsi="VELUXforOffice"/>
          <w:sz w:val="20"/>
          <w:szCs w:val="20"/>
          <w:lang w:val="en-GB"/>
        </w:rPr>
        <w:t xml:space="preserve">visibly </w:t>
      </w:r>
      <w:r w:rsidRPr="00276F17">
        <w:rPr>
          <w:rFonts w:ascii="VELUXforOffice" w:hAnsi="VELUXforOffice"/>
          <w:sz w:val="20"/>
          <w:szCs w:val="20"/>
          <w:lang w:val="en-GB"/>
        </w:rPr>
        <w:t xml:space="preserve">differentiate the product offer in the commercial market from the well-known VELUX roof window and to establish a visual framework for the creation of the </w:t>
      </w:r>
      <w:r w:rsidR="000B0052" w:rsidRPr="00276F17">
        <w:rPr>
          <w:rFonts w:ascii="VELUXforOffice" w:hAnsi="VELUXforOffice"/>
          <w:sz w:val="20"/>
          <w:szCs w:val="20"/>
          <w:lang w:val="en-GB"/>
        </w:rPr>
        <w:t xml:space="preserve">new </w:t>
      </w:r>
      <w:r w:rsidRPr="00276F17">
        <w:rPr>
          <w:rFonts w:ascii="VELUXforOffice" w:hAnsi="VELUXforOffice"/>
          <w:sz w:val="20"/>
          <w:szCs w:val="20"/>
          <w:lang w:val="en-GB"/>
        </w:rPr>
        <w:t xml:space="preserve">commercial division, the VELUX Group is now launching a VELUX commercial logo and visual identity. </w:t>
      </w:r>
    </w:p>
    <w:p w14:paraId="2E567581" w14:textId="57DF234C" w:rsidR="003332CB" w:rsidRPr="00276F17" w:rsidRDefault="00A66F4C" w:rsidP="00A66F4C">
      <w:pPr>
        <w:rPr>
          <w:rFonts w:ascii="VELUXforOffice" w:hAnsi="VELUXforOffice"/>
          <w:sz w:val="20"/>
          <w:szCs w:val="20"/>
          <w:lang w:val="en-GB"/>
        </w:rPr>
      </w:pPr>
      <w:r w:rsidRPr="00276F17">
        <w:rPr>
          <w:rFonts w:ascii="VELUXforOffice" w:hAnsi="VELUXforOffice"/>
          <w:sz w:val="20"/>
          <w:szCs w:val="20"/>
          <w:lang w:val="en-GB"/>
        </w:rPr>
        <w:t xml:space="preserve">The VELUX Commercial logo and the visual identity is shown for the first time in public </w:t>
      </w:r>
      <w:r w:rsidR="00D70CF7" w:rsidRPr="00276F17">
        <w:rPr>
          <w:rFonts w:ascii="VELUXforOffice" w:hAnsi="VELUXforOffice"/>
          <w:sz w:val="20"/>
          <w:szCs w:val="20"/>
          <w:lang w:val="en-GB"/>
        </w:rPr>
        <w:t>at</w:t>
      </w:r>
      <w:r w:rsidRPr="00276F17">
        <w:rPr>
          <w:rFonts w:ascii="VELUXforOffice" w:hAnsi="VELUXforOffice"/>
          <w:sz w:val="20"/>
          <w:szCs w:val="20"/>
          <w:lang w:val="en-GB"/>
        </w:rPr>
        <w:t xml:space="preserve"> the BAU </w:t>
      </w:r>
      <w:r w:rsidR="00D70CF7" w:rsidRPr="00276F17">
        <w:rPr>
          <w:rFonts w:ascii="VELUXforOffice" w:hAnsi="VELUXforOffice"/>
          <w:sz w:val="20"/>
          <w:szCs w:val="20"/>
          <w:lang w:val="en-GB"/>
        </w:rPr>
        <w:t>on</w:t>
      </w:r>
      <w:r w:rsidRPr="00276F17">
        <w:rPr>
          <w:rFonts w:ascii="VELUXforOffice" w:hAnsi="VELUXforOffice"/>
          <w:sz w:val="20"/>
          <w:szCs w:val="20"/>
          <w:lang w:val="en-GB"/>
        </w:rPr>
        <w:t xml:space="preserve"> the VELUX</w:t>
      </w:r>
      <w:r w:rsidR="007558F7">
        <w:rPr>
          <w:rFonts w:ascii="VELUXforOffice" w:hAnsi="VELUXforOffice"/>
          <w:sz w:val="20"/>
          <w:szCs w:val="20"/>
          <w:lang w:val="en-GB"/>
        </w:rPr>
        <w:t xml:space="preserve"> and JET</w:t>
      </w:r>
      <w:r w:rsidRPr="00276F17">
        <w:rPr>
          <w:rFonts w:ascii="VELUXforOffice" w:hAnsi="VELUXforOffice"/>
          <w:sz w:val="20"/>
          <w:szCs w:val="20"/>
          <w:lang w:val="en-GB"/>
        </w:rPr>
        <w:t xml:space="preserve"> stand</w:t>
      </w:r>
      <w:r w:rsidR="007558F7">
        <w:rPr>
          <w:rFonts w:ascii="VELUXforOffice" w:hAnsi="VELUXforOffice"/>
          <w:sz w:val="20"/>
          <w:szCs w:val="20"/>
          <w:lang w:val="en-GB"/>
        </w:rPr>
        <w:t>s</w:t>
      </w:r>
      <w:bookmarkStart w:id="2" w:name="_GoBack"/>
      <w:bookmarkEnd w:id="2"/>
      <w:r w:rsidRPr="00276F17">
        <w:rPr>
          <w:rFonts w:ascii="VELUXforOffice" w:hAnsi="VELUXforOffice"/>
          <w:sz w:val="20"/>
          <w:szCs w:val="20"/>
          <w:lang w:val="en-GB"/>
        </w:rPr>
        <w:t xml:space="preserve">, and will be rolled out during the coming months in most of Europe as a </w:t>
      </w:r>
      <w:r w:rsidR="00C34ADD" w:rsidRPr="00276F17">
        <w:rPr>
          <w:rFonts w:ascii="VELUXforOffice" w:hAnsi="VELUXforOffice"/>
          <w:sz w:val="20"/>
          <w:szCs w:val="20"/>
          <w:lang w:val="en-GB"/>
        </w:rPr>
        <w:t xml:space="preserve">first </w:t>
      </w:r>
      <w:r w:rsidRPr="00276F17">
        <w:rPr>
          <w:rFonts w:ascii="VELUXforOffice" w:hAnsi="VELUXforOffice"/>
          <w:sz w:val="20"/>
          <w:szCs w:val="20"/>
          <w:lang w:val="en-GB"/>
        </w:rPr>
        <w:t>visual sign</w:t>
      </w:r>
      <w:r w:rsidR="00C94195" w:rsidRPr="00276F17">
        <w:rPr>
          <w:rFonts w:ascii="VELUXforOffice" w:hAnsi="VELUXforOffice"/>
          <w:sz w:val="20"/>
          <w:szCs w:val="20"/>
          <w:lang w:val="en-GB"/>
        </w:rPr>
        <w:t>al</w:t>
      </w:r>
      <w:r w:rsidRPr="00276F17">
        <w:rPr>
          <w:rFonts w:ascii="VELUXforOffice" w:hAnsi="VELUXforOffice"/>
          <w:sz w:val="20"/>
          <w:szCs w:val="20"/>
          <w:lang w:val="en-GB"/>
        </w:rPr>
        <w:t xml:space="preserve"> to the market, that VELUX is</w:t>
      </w:r>
      <w:r w:rsidR="00C34ADD" w:rsidRPr="00276F17">
        <w:rPr>
          <w:rFonts w:ascii="VELUXforOffice" w:hAnsi="VELUXforOffice"/>
          <w:sz w:val="20"/>
          <w:szCs w:val="20"/>
          <w:lang w:val="en-GB"/>
        </w:rPr>
        <w:t xml:space="preserve"> building something new together</w:t>
      </w:r>
      <w:r w:rsidRPr="00276F17">
        <w:rPr>
          <w:rFonts w:ascii="VELUXforOffice" w:hAnsi="VELUXforOffice"/>
          <w:sz w:val="20"/>
          <w:szCs w:val="20"/>
          <w:lang w:val="en-GB"/>
        </w:rPr>
        <w:t xml:space="preserve"> with JET</w:t>
      </w:r>
      <w:r w:rsidR="00C34ADD" w:rsidRPr="00276F17">
        <w:rPr>
          <w:rFonts w:ascii="VELUXforOffice" w:hAnsi="VELUXforOffice"/>
          <w:sz w:val="20"/>
          <w:szCs w:val="20"/>
          <w:lang w:val="en-GB"/>
        </w:rPr>
        <w:t>.</w:t>
      </w:r>
      <w:r w:rsidRPr="00276F17">
        <w:rPr>
          <w:rFonts w:ascii="VELUXforOffice" w:hAnsi="VELUXforOffice"/>
          <w:sz w:val="20"/>
          <w:szCs w:val="20"/>
          <w:lang w:val="en-GB"/>
        </w:rPr>
        <w:t xml:space="preserve"> </w:t>
      </w:r>
    </w:p>
    <w:p w14:paraId="6114DFA6" w14:textId="77777777" w:rsidR="000B0052" w:rsidRPr="00276F17" w:rsidRDefault="000B0052" w:rsidP="00A66F4C">
      <w:pPr>
        <w:rPr>
          <w:rFonts w:ascii="VELUXforOffice" w:hAnsi="VELUXforOffice"/>
          <w:sz w:val="20"/>
          <w:szCs w:val="20"/>
          <w:lang w:val="en-GB"/>
        </w:rPr>
      </w:pPr>
    </w:p>
    <w:p w14:paraId="56A75382" w14:textId="77777777" w:rsidR="003332CB" w:rsidRPr="00276F17" w:rsidRDefault="003332CB" w:rsidP="004D7E1A">
      <w:pPr>
        <w:rPr>
          <w:rFonts w:ascii="VELUXforOffice" w:hAnsi="VELUXforOffice"/>
          <w:b/>
          <w:sz w:val="20"/>
          <w:szCs w:val="20"/>
          <w:lang w:val="en-GB"/>
        </w:rPr>
      </w:pPr>
    </w:p>
    <w:p w14:paraId="7390D6C6" w14:textId="77777777" w:rsidR="003332CB" w:rsidRPr="00276F17" w:rsidRDefault="003332CB" w:rsidP="004D7E1A">
      <w:pPr>
        <w:rPr>
          <w:rFonts w:ascii="VELUXforOffice" w:hAnsi="VELUXforOffice"/>
          <w:b/>
          <w:sz w:val="20"/>
          <w:szCs w:val="20"/>
          <w:lang w:val="en-GB"/>
        </w:rPr>
      </w:pPr>
    </w:p>
    <w:p w14:paraId="6CAC9684" w14:textId="77777777" w:rsidR="000B0052" w:rsidRPr="00276F17" w:rsidRDefault="000B0052" w:rsidP="004D7E1A">
      <w:pPr>
        <w:rPr>
          <w:rFonts w:ascii="VELUXforOffice" w:hAnsi="VELUXforOffice"/>
          <w:b/>
          <w:sz w:val="20"/>
          <w:szCs w:val="20"/>
          <w:lang w:val="en-GB"/>
        </w:rPr>
      </w:pPr>
    </w:p>
    <w:p w14:paraId="15AC265A" w14:textId="594950C6" w:rsidR="003332CB" w:rsidRPr="00276F17" w:rsidRDefault="003332CB" w:rsidP="004D7E1A">
      <w:pPr>
        <w:rPr>
          <w:rFonts w:ascii="VELUXforOffice" w:hAnsi="VELUXforOffice"/>
          <w:b/>
          <w:sz w:val="20"/>
          <w:szCs w:val="20"/>
          <w:lang w:val="en-GB"/>
        </w:rPr>
      </w:pPr>
      <w:r w:rsidRPr="00276F17">
        <w:rPr>
          <w:rFonts w:ascii="VELUXforOffice" w:hAnsi="VELUXforOffice"/>
          <w:b/>
          <w:sz w:val="20"/>
          <w:szCs w:val="20"/>
          <w:lang w:val="en-GB"/>
        </w:rPr>
        <w:t>About the VELUX Commercial logo and visual identity</w:t>
      </w:r>
    </w:p>
    <w:p w14:paraId="31757A50" w14:textId="77777777" w:rsidR="00FF4425" w:rsidRPr="00276F17" w:rsidRDefault="003332CB" w:rsidP="003332CB">
      <w:pPr>
        <w:rPr>
          <w:rFonts w:ascii="VELUXforOffice" w:hAnsi="VELUXforOffice"/>
          <w:sz w:val="20"/>
          <w:szCs w:val="20"/>
          <w:lang w:val="en-GB"/>
        </w:rPr>
      </w:pPr>
      <w:r w:rsidRPr="00276F17">
        <w:rPr>
          <w:rFonts w:ascii="VELUXforOffice" w:hAnsi="VELUXforOffice"/>
          <w:sz w:val="20"/>
          <w:szCs w:val="20"/>
          <w:lang w:val="en-GB"/>
        </w:rPr>
        <w:t>The VELUX Commercial logo and visual identity is developed within the existing colour palette of VELUX corporate identity.</w:t>
      </w:r>
    </w:p>
    <w:p w14:paraId="0C3C649F" w14:textId="5695D02A" w:rsidR="003332CB" w:rsidRPr="00276F17" w:rsidRDefault="00276F17" w:rsidP="003332CB">
      <w:pPr>
        <w:rPr>
          <w:rFonts w:ascii="VELUXforOffice" w:hAnsi="VELUXforOffice"/>
          <w:sz w:val="20"/>
          <w:szCs w:val="20"/>
          <w:lang w:val="en-GB"/>
        </w:rPr>
      </w:pPr>
      <w:r w:rsidRPr="00276F17">
        <w:rPr>
          <w:rFonts w:ascii="VELUXforOffice" w:hAnsi="VELUXforOffice"/>
          <w:sz w:val="20"/>
          <w:szCs w:val="20"/>
          <w:lang w:val="en-GB"/>
        </w:rPr>
        <w:t>The new logo emphasises that this is a division under the VELUX brand by using the VELUX logo as the foundation. The black colour with Commercial highlights the focus on the commercial market.</w:t>
      </w:r>
    </w:p>
    <w:p w14:paraId="3F47FF95" w14:textId="4300A5C2" w:rsidR="00C94195" w:rsidRPr="00276F17" w:rsidRDefault="00276F17" w:rsidP="003332CB">
      <w:pPr>
        <w:rPr>
          <w:rFonts w:ascii="VELUXforOffice" w:hAnsi="VELUXforOffice"/>
          <w:sz w:val="20"/>
          <w:szCs w:val="20"/>
          <w:lang w:val="en-GB"/>
        </w:rPr>
      </w:pPr>
      <w:r w:rsidRPr="00276F17">
        <w:rPr>
          <w:rFonts w:ascii="VELUXforOffice" w:hAnsi="VELUXforOffice"/>
          <w:sz w:val="20"/>
          <w:szCs w:val="20"/>
          <w:lang w:val="en-GB"/>
        </w:rPr>
        <w:t>The visual identity colour palette prioritises the anthracite grey as a primary colour and by adding new shades of blue referring to the skylight solutions, the new visual identity expresses the contrast between light and shadow exactly as the effect of the skylight solutions do. By using the VELUX typography, the close link to the VELUX Brand is further enhanced.</w:t>
      </w:r>
    </w:p>
    <w:p w14:paraId="0AE3E167" w14:textId="77777777" w:rsidR="00276F17" w:rsidRPr="00276F17" w:rsidRDefault="00276F17" w:rsidP="003332CB">
      <w:pPr>
        <w:rPr>
          <w:rFonts w:ascii="VELUXforOffice" w:hAnsi="VELUXforOffice"/>
          <w:b/>
          <w:sz w:val="20"/>
          <w:szCs w:val="20"/>
          <w:lang w:val="en-GB"/>
        </w:rPr>
      </w:pPr>
    </w:p>
    <w:p w14:paraId="4E7BE39B" w14:textId="5B9C6279" w:rsidR="003332CB" w:rsidRPr="00276F17" w:rsidRDefault="003332CB" w:rsidP="003332CB">
      <w:pPr>
        <w:rPr>
          <w:rFonts w:ascii="VELUXforOffice" w:hAnsi="VELUXforOffice"/>
          <w:b/>
          <w:sz w:val="20"/>
          <w:szCs w:val="20"/>
          <w:lang w:val="en-GB"/>
        </w:rPr>
      </w:pPr>
      <w:r w:rsidRPr="00276F17">
        <w:rPr>
          <w:rFonts w:ascii="VELUXforOffice" w:hAnsi="VELUXforOffice"/>
          <w:b/>
          <w:sz w:val="20"/>
          <w:szCs w:val="20"/>
          <w:lang w:val="en-GB"/>
        </w:rPr>
        <w:t>About the JET-Group</w:t>
      </w:r>
    </w:p>
    <w:p w14:paraId="01D7969E" w14:textId="654C9954" w:rsidR="003332CB" w:rsidRPr="00276F17" w:rsidRDefault="003332CB" w:rsidP="003332CB">
      <w:pPr>
        <w:rPr>
          <w:rFonts w:ascii="VELUXforOffice" w:hAnsi="VELUXforOffice"/>
          <w:sz w:val="20"/>
          <w:szCs w:val="20"/>
          <w:lang w:val="en-GB"/>
        </w:rPr>
      </w:pPr>
      <w:r w:rsidRPr="00276F17">
        <w:rPr>
          <w:rFonts w:ascii="VELUXforOffice" w:hAnsi="VELUXforOffice"/>
          <w:sz w:val="20"/>
          <w:szCs w:val="20"/>
          <w:lang w:val="en-GB"/>
        </w:rPr>
        <w:t xml:space="preserve">The JET-Group was founded in 1970. Today they have nearly 800 employees, is </w:t>
      </w:r>
      <w:proofErr w:type="spellStart"/>
      <w:r w:rsidRPr="00276F17">
        <w:rPr>
          <w:rFonts w:ascii="VELUXforOffice" w:hAnsi="VELUXforOffice"/>
          <w:sz w:val="20"/>
          <w:szCs w:val="20"/>
          <w:lang w:val="en-GB"/>
        </w:rPr>
        <w:t>headquarted</w:t>
      </w:r>
      <w:proofErr w:type="spellEnd"/>
      <w:r w:rsidRPr="00276F17">
        <w:rPr>
          <w:rFonts w:ascii="VELUXforOffice" w:hAnsi="VELUXforOffice"/>
          <w:sz w:val="20"/>
          <w:szCs w:val="20"/>
          <w:lang w:val="en-GB"/>
        </w:rPr>
        <w:t xml:space="preserve"> in </w:t>
      </w:r>
      <w:proofErr w:type="spellStart"/>
      <w:r w:rsidRPr="00276F17">
        <w:rPr>
          <w:rFonts w:ascii="VELUXforOffice" w:hAnsi="VELUXforOffice"/>
          <w:sz w:val="20"/>
          <w:szCs w:val="20"/>
          <w:lang w:val="en-GB"/>
        </w:rPr>
        <w:t>Hüllhorst</w:t>
      </w:r>
      <w:proofErr w:type="spellEnd"/>
      <w:r w:rsidRPr="00276F17">
        <w:rPr>
          <w:rFonts w:ascii="VELUXforOffice" w:hAnsi="VELUXforOffice"/>
          <w:sz w:val="20"/>
          <w:szCs w:val="20"/>
          <w:lang w:val="en-GB"/>
        </w:rPr>
        <w:t xml:space="preserve"> Germany and has own sales offices in 7 countries</w:t>
      </w:r>
      <w:r w:rsidR="00C94195" w:rsidRPr="00276F17">
        <w:rPr>
          <w:rFonts w:ascii="VELUXforOffice" w:hAnsi="VELUXforOffice"/>
          <w:sz w:val="20"/>
          <w:szCs w:val="20"/>
          <w:lang w:val="en-GB"/>
        </w:rPr>
        <w:t>: Germany, Poland, Denmark, Norway, The Netherlands, The United Kingdom, and Switzerland</w:t>
      </w:r>
      <w:r w:rsidRPr="00276F17">
        <w:rPr>
          <w:rFonts w:ascii="VELUXforOffice" w:hAnsi="VELUXforOffice"/>
          <w:sz w:val="20"/>
          <w:szCs w:val="20"/>
          <w:lang w:val="en-GB"/>
        </w:rPr>
        <w:t>, and 6 production sites in 4 countries: Germany, Denmark, Great Britain, and The Netherlands</w:t>
      </w:r>
    </w:p>
    <w:p w14:paraId="01611C0E" w14:textId="77777777" w:rsidR="003332CB" w:rsidRPr="00276F17" w:rsidRDefault="003332CB" w:rsidP="004D7E1A">
      <w:pPr>
        <w:rPr>
          <w:rFonts w:ascii="VELUXforOffice" w:hAnsi="VELUXforOffice"/>
          <w:b/>
          <w:sz w:val="20"/>
          <w:szCs w:val="20"/>
          <w:lang w:val="en-GB"/>
        </w:rPr>
      </w:pPr>
    </w:p>
    <w:p w14:paraId="11C64BE8" w14:textId="5C3892B5" w:rsidR="004D7E1A" w:rsidRPr="00276F17" w:rsidRDefault="004D7E1A" w:rsidP="004D7E1A">
      <w:pPr>
        <w:rPr>
          <w:rFonts w:ascii="VELUXforOffice" w:hAnsi="VELUXforOffice"/>
          <w:b/>
          <w:sz w:val="20"/>
          <w:szCs w:val="20"/>
          <w:lang w:val="en-GB"/>
        </w:rPr>
      </w:pPr>
      <w:r w:rsidRPr="00276F17">
        <w:rPr>
          <w:rFonts w:ascii="VELUXforOffice" w:hAnsi="VELUXforOffice"/>
          <w:b/>
          <w:sz w:val="20"/>
          <w:szCs w:val="20"/>
          <w:lang w:val="en-GB"/>
        </w:rPr>
        <w:t>About VELUX Commercial</w:t>
      </w:r>
    </w:p>
    <w:p w14:paraId="2EA94939" w14:textId="4924A62D" w:rsidR="003332CB" w:rsidRPr="00276F17" w:rsidRDefault="00122687" w:rsidP="00A66F4C">
      <w:pPr>
        <w:rPr>
          <w:rFonts w:ascii="VELUXforOffice" w:hAnsi="VELUXforOffice"/>
          <w:sz w:val="20"/>
          <w:szCs w:val="20"/>
          <w:lang w:val="en-GB"/>
        </w:rPr>
      </w:pPr>
      <w:r w:rsidRPr="00276F17">
        <w:rPr>
          <w:rFonts w:ascii="VELUXforOffice" w:hAnsi="VELUXforOffice"/>
          <w:sz w:val="20"/>
          <w:szCs w:val="20"/>
          <w:lang w:val="en-GB"/>
        </w:rPr>
        <w:t xml:space="preserve">VELUX Commercial </w:t>
      </w:r>
      <w:r w:rsidR="00C94195" w:rsidRPr="00276F17">
        <w:rPr>
          <w:rFonts w:ascii="VELUXforOffice" w:hAnsi="VELUXforOffice"/>
          <w:sz w:val="20"/>
          <w:szCs w:val="20"/>
          <w:lang w:val="en-GB"/>
        </w:rPr>
        <w:t>covers</w:t>
      </w:r>
      <w:r w:rsidRPr="00276F17">
        <w:rPr>
          <w:rFonts w:ascii="VELUXforOffice" w:hAnsi="VELUXforOffice"/>
          <w:sz w:val="20"/>
          <w:szCs w:val="20"/>
          <w:lang w:val="en-GB"/>
        </w:rPr>
        <w:t xml:space="preserve"> Wasco, </w:t>
      </w:r>
      <w:proofErr w:type="spellStart"/>
      <w:r w:rsidRPr="00276F17">
        <w:rPr>
          <w:rFonts w:ascii="VELUXforOffice" w:hAnsi="VELUXforOffice"/>
          <w:sz w:val="20"/>
          <w:szCs w:val="20"/>
          <w:lang w:val="en-GB"/>
        </w:rPr>
        <w:t>Vitral</w:t>
      </w:r>
      <w:proofErr w:type="spellEnd"/>
      <w:r w:rsidRPr="00276F17">
        <w:rPr>
          <w:rFonts w:ascii="VELUXforOffice" w:hAnsi="VELUXforOffice"/>
          <w:sz w:val="20"/>
          <w:szCs w:val="20"/>
          <w:lang w:val="en-GB"/>
        </w:rPr>
        <w:t>, JET and VELUX Modular Skylights organisations and has in total close to 1,200 people working in sales, production and administration in 13 countries</w:t>
      </w:r>
      <w:r w:rsidR="003332CB" w:rsidRPr="00276F17">
        <w:rPr>
          <w:rFonts w:ascii="VELUXforOffice" w:hAnsi="VELUXforOffice"/>
          <w:sz w:val="20"/>
          <w:szCs w:val="20"/>
          <w:lang w:val="en-GB"/>
        </w:rPr>
        <w:t xml:space="preserve"> providing a broad product offering ranging from industrial flat roof products and smoke- and heat ventilation exhaust solutions to modular, prefabricated skylight solutions.</w:t>
      </w:r>
    </w:p>
    <w:p w14:paraId="09256FD1" w14:textId="77777777" w:rsidR="003332CB" w:rsidRPr="00276F17" w:rsidRDefault="003332CB" w:rsidP="00A66F4C">
      <w:pPr>
        <w:rPr>
          <w:rFonts w:ascii="VELUXforOffice" w:hAnsi="VELUXforOffice"/>
          <w:b/>
          <w:sz w:val="20"/>
          <w:szCs w:val="20"/>
          <w:lang w:val="en-GB"/>
        </w:rPr>
      </w:pPr>
    </w:p>
    <w:p w14:paraId="1C20B6A8" w14:textId="03EBD3B5" w:rsidR="004D7E1A" w:rsidRPr="00276F17" w:rsidRDefault="004D7E1A" w:rsidP="00A66F4C">
      <w:pPr>
        <w:rPr>
          <w:rFonts w:ascii="VELUXforOffice" w:hAnsi="VELUXforOffice"/>
          <w:b/>
          <w:sz w:val="20"/>
          <w:szCs w:val="20"/>
          <w:lang w:val="en-GB"/>
        </w:rPr>
      </w:pPr>
      <w:r w:rsidRPr="00276F17">
        <w:rPr>
          <w:rFonts w:ascii="VELUXforOffice" w:hAnsi="VELUXforOffice"/>
          <w:b/>
          <w:sz w:val="20"/>
          <w:szCs w:val="20"/>
          <w:lang w:val="en-GB"/>
        </w:rPr>
        <w:t>About the VELUX Group</w:t>
      </w:r>
    </w:p>
    <w:p w14:paraId="77869FB7" w14:textId="1B94D217" w:rsidR="003332CB" w:rsidRPr="00276F17" w:rsidRDefault="00FF4425" w:rsidP="00FF4425">
      <w:pPr>
        <w:rPr>
          <w:rFonts w:ascii="VELUXforOffice" w:hAnsi="VELUXforOffice"/>
          <w:sz w:val="20"/>
          <w:szCs w:val="20"/>
          <w:lang w:val="en-GB"/>
        </w:rPr>
      </w:pPr>
      <w:r w:rsidRPr="00276F17">
        <w:rPr>
          <w:rFonts w:ascii="VELUXforOffice" w:hAnsi="VELUXforOffice"/>
          <w:sz w:val="20"/>
          <w:szCs w:val="20"/>
          <w:lang w:val="en-GB"/>
        </w:rPr>
        <w:t xml:space="preserve">For more than 75 years, the VELUX Group has created better living environments for people around the world; making the most of daylight and fresh air through the roof. Our product programme includes roof windows and modular skylights, decorative blinds, sun screening products and roller shutters, as well as installation and smart home solutions. These products help to ensure a healthy and sustainable indoor climate, for work and learning, for play and pleasure. We work globally – with sales and manufacturing operations in more than 40 countries and around 11,000 employees worldwide. The VELUX Group is owned by VKR Holding A/S, a limited company wholly owned by non-profit, charitable foundations (THE VELUX FOUNDATIONS) and family. In 2017, VKR Holding had total revenue of EUR 2.5 billion, and THE VELUX FOUNDATIONS donated EUR 170 million in charitable grants. For more, information, visit </w:t>
      </w:r>
      <w:hyperlink r:id="rId11" w:history="1">
        <w:r w:rsidR="005A0CD8" w:rsidRPr="00276F17">
          <w:rPr>
            <w:rStyle w:val="Hyperlink"/>
            <w:rFonts w:ascii="VELUXforOffice" w:hAnsi="VELUXforOffice"/>
            <w:sz w:val="20"/>
            <w:szCs w:val="20"/>
            <w:lang w:val="en-GB"/>
          </w:rPr>
          <w:t>www.velux.com</w:t>
        </w:r>
      </w:hyperlink>
      <w:r w:rsidRPr="00276F17">
        <w:rPr>
          <w:rFonts w:ascii="VELUXforOffice" w:hAnsi="VELUXforOffice"/>
          <w:sz w:val="20"/>
          <w:szCs w:val="20"/>
          <w:lang w:val="en-GB"/>
        </w:rPr>
        <w:t>.</w:t>
      </w:r>
    </w:p>
    <w:p w14:paraId="7C8F3AB8" w14:textId="77777777" w:rsidR="00123C87" w:rsidRPr="00276F17" w:rsidRDefault="00123C87" w:rsidP="00123C87">
      <w:pPr>
        <w:rPr>
          <w:rFonts w:ascii="VELUXforOffice" w:hAnsi="VELUXforOffice"/>
          <w:sz w:val="20"/>
          <w:szCs w:val="20"/>
          <w:lang w:val="en-GB"/>
        </w:rPr>
      </w:pPr>
    </w:p>
    <w:p w14:paraId="503D7F96" w14:textId="77777777" w:rsidR="00123C87" w:rsidRPr="00276F17" w:rsidRDefault="00123C87" w:rsidP="00123C87">
      <w:pPr>
        <w:rPr>
          <w:rFonts w:ascii="VELUXforOffice" w:hAnsi="VELUXforOffice"/>
          <w:sz w:val="20"/>
          <w:szCs w:val="20"/>
          <w:lang w:val="en-GB"/>
        </w:rPr>
      </w:pPr>
    </w:p>
    <w:p w14:paraId="5F0DD70E" w14:textId="77777777" w:rsidR="00123C87" w:rsidRPr="00276F17" w:rsidRDefault="00123C87" w:rsidP="00123C87">
      <w:pPr>
        <w:rPr>
          <w:rFonts w:ascii="VELUXforOffice" w:hAnsi="VELUXforOffice"/>
          <w:sz w:val="20"/>
          <w:szCs w:val="20"/>
          <w:lang w:val="en-GB"/>
        </w:rPr>
      </w:pPr>
    </w:p>
    <w:p w14:paraId="6DBDC541" w14:textId="77777777" w:rsidR="00123C87" w:rsidRPr="00276F17" w:rsidRDefault="00123C87" w:rsidP="00123C87">
      <w:pPr>
        <w:rPr>
          <w:rFonts w:ascii="VELUXforOffice" w:hAnsi="VELUXforOffice"/>
          <w:sz w:val="20"/>
          <w:szCs w:val="20"/>
          <w:lang w:val="en-GB"/>
        </w:rPr>
      </w:pPr>
    </w:p>
    <w:p w14:paraId="73E38660" w14:textId="77777777" w:rsidR="00123C87" w:rsidRPr="00276F17" w:rsidRDefault="00123C87" w:rsidP="00123C87">
      <w:pPr>
        <w:rPr>
          <w:rFonts w:ascii="VELUXforOffice" w:hAnsi="VELUXforOffice" w:cs="Arial"/>
          <w:b/>
          <w:bCs/>
          <w:color w:val="000000" w:themeColor="text1"/>
          <w:sz w:val="20"/>
          <w:szCs w:val="20"/>
          <w:lang w:val="en-US"/>
        </w:rPr>
      </w:pPr>
    </w:p>
    <w:p w14:paraId="7D75543C" w14:textId="77777777" w:rsidR="00276F17" w:rsidRDefault="00276F17" w:rsidP="00123C87">
      <w:pPr>
        <w:rPr>
          <w:rFonts w:ascii="VELUXforOffice" w:hAnsi="VELUXforOffice" w:cs="Arial"/>
          <w:b/>
          <w:bCs/>
          <w:color w:val="000000" w:themeColor="text1"/>
          <w:sz w:val="20"/>
          <w:szCs w:val="20"/>
          <w:lang w:val="en-US"/>
        </w:rPr>
      </w:pPr>
    </w:p>
    <w:p w14:paraId="24BA7F64" w14:textId="271C22F2" w:rsidR="00123C87" w:rsidRPr="00276F17" w:rsidRDefault="00123C87" w:rsidP="00123C87">
      <w:pPr>
        <w:rPr>
          <w:rFonts w:ascii="VELUXforOffice" w:hAnsi="VELUXforOffice" w:cs="Arial"/>
          <w:b/>
          <w:bCs/>
          <w:color w:val="000000" w:themeColor="text1"/>
          <w:sz w:val="20"/>
          <w:szCs w:val="20"/>
          <w:lang w:val="en-US"/>
        </w:rPr>
      </w:pPr>
      <w:r w:rsidRPr="00276F17">
        <w:rPr>
          <w:rFonts w:ascii="VELUXforOffice" w:hAnsi="VELUXforOffice" w:cs="Arial"/>
          <w:b/>
          <w:bCs/>
          <w:color w:val="000000" w:themeColor="text1"/>
          <w:sz w:val="20"/>
          <w:szCs w:val="20"/>
          <w:lang w:val="en-US"/>
        </w:rPr>
        <w:t xml:space="preserve">Captions for images </w:t>
      </w:r>
    </w:p>
    <w:p w14:paraId="21B5D9ED" w14:textId="77777777" w:rsidR="00123C87" w:rsidRPr="00276F17" w:rsidRDefault="00123C87" w:rsidP="00123C87">
      <w:pPr>
        <w:rPr>
          <w:rFonts w:ascii="VELUXforOffice" w:eastAsia="Times New Roman" w:hAnsi="VELUXforOffice"/>
          <w:lang w:val="en-GB"/>
        </w:rPr>
      </w:pPr>
      <w:r w:rsidRPr="00276F17">
        <w:rPr>
          <w:rFonts w:ascii="VELUXforOffice" w:eastAsia="Times New Roman" w:hAnsi="VELUXforOffice"/>
          <w:lang w:val="en-GB"/>
        </w:rPr>
        <w:t xml:space="preserve">Image: core.jpg: </w:t>
      </w:r>
    </w:p>
    <w:p w14:paraId="58760E38" w14:textId="77777777" w:rsidR="00123C87" w:rsidRPr="00276F17" w:rsidRDefault="00123C87" w:rsidP="00123C87">
      <w:pPr>
        <w:rPr>
          <w:rFonts w:ascii="VELUXforOffice" w:hAnsi="VELUXforOffice" w:cs="Arial"/>
          <w:b/>
          <w:bCs/>
          <w:color w:val="000000" w:themeColor="text1"/>
          <w:sz w:val="20"/>
          <w:szCs w:val="20"/>
          <w:lang w:val="en-US"/>
        </w:rPr>
      </w:pPr>
      <w:r w:rsidRPr="00276F17">
        <w:rPr>
          <w:rFonts w:ascii="VELUXforOffice" w:eastAsia="Times New Roman" w:hAnsi="VELUXforOffice"/>
          <w:lang w:val="en-GB"/>
        </w:rPr>
        <w:t>The new logo emphasises that this is a division under the VELUX brand by using the same shape and the same red colour as the VELUX logo.</w:t>
      </w:r>
    </w:p>
    <w:p w14:paraId="440C723B" w14:textId="77777777" w:rsidR="00123C87" w:rsidRPr="00276F17" w:rsidRDefault="00123C87" w:rsidP="00123C87">
      <w:pPr>
        <w:rPr>
          <w:rFonts w:ascii="VELUXforOffice" w:hAnsi="VELUXforOffice" w:cs="Arial"/>
          <w:b/>
          <w:bCs/>
          <w:color w:val="000000" w:themeColor="text1"/>
          <w:sz w:val="20"/>
          <w:szCs w:val="20"/>
          <w:lang w:val="en-US"/>
        </w:rPr>
      </w:pPr>
      <w:r w:rsidRPr="00276F17">
        <w:rPr>
          <w:rFonts w:ascii="VELUXforOffice" w:hAnsi="VELUXforOffice" w:cs="Arial"/>
          <w:b/>
          <w:bCs/>
          <w:noProof/>
          <w:color w:val="000000" w:themeColor="text1"/>
          <w:sz w:val="20"/>
          <w:szCs w:val="20"/>
          <w:lang w:val="en-US"/>
        </w:rPr>
        <w:drawing>
          <wp:inline distT="0" distB="0" distL="0" distR="0" wp14:anchorId="79B935FF" wp14:editId="51596EC6">
            <wp:extent cx="1618488" cy="1118616"/>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8488" cy="1118616"/>
                    </a:xfrm>
                    <a:prstGeom prst="rect">
                      <a:avLst/>
                    </a:prstGeom>
                  </pic:spPr>
                </pic:pic>
              </a:graphicData>
            </a:graphic>
          </wp:inline>
        </w:drawing>
      </w:r>
    </w:p>
    <w:p w14:paraId="2C870CE3" w14:textId="77777777" w:rsidR="00123C87" w:rsidRPr="00276F17" w:rsidRDefault="00123C87" w:rsidP="00123C87">
      <w:pPr>
        <w:rPr>
          <w:rFonts w:ascii="VELUXforOffice" w:hAnsi="VELUXforOffice" w:cs="Arial"/>
          <w:b/>
          <w:bCs/>
          <w:color w:val="000000" w:themeColor="text1"/>
          <w:sz w:val="20"/>
          <w:szCs w:val="20"/>
          <w:lang w:val="en-US"/>
        </w:rPr>
      </w:pPr>
    </w:p>
    <w:p w14:paraId="540636EE" w14:textId="77777777" w:rsidR="00123C87" w:rsidRPr="00276F17" w:rsidRDefault="00123C87" w:rsidP="00123C87">
      <w:pPr>
        <w:rPr>
          <w:rFonts w:ascii="VELUXforOffice" w:hAnsi="VELUXforOffice" w:cs="Arial"/>
          <w:bCs/>
          <w:color w:val="000000" w:themeColor="text1"/>
          <w:sz w:val="20"/>
          <w:szCs w:val="20"/>
          <w:lang w:val="en-US"/>
        </w:rPr>
      </w:pPr>
      <w:r w:rsidRPr="00276F17">
        <w:rPr>
          <w:rFonts w:ascii="VELUXforOffice" w:hAnsi="VELUXforOffice" w:cs="Arial"/>
          <w:bCs/>
          <w:color w:val="000000" w:themeColor="text1"/>
          <w:sz w:val="20"/>
          <w:szCs w:val="20"/>
          <w:lang w:val="en-US"/>
        </w:rPr>
        <w:t>Image: square building icons_rgb_antracit.jpg</w:t>
      </w:r>
    </w:p>
    <w:p w14:paraId="0D7639D5" w14:textId="77777777" w:rsidR="00123C87" w:rsidRPr="00276F17" w:rsidRDefault="00123C87" w:rsidP="00123C87">
      <w:pPr>
        <w:spacing w:line="240" w:lineRule="atLeast"/>
        <w:rPr>
          <w:rFonts w:ascii="VELUXforOffice" w:eastAsia="Times New Roman" w:hAnsi="VELUXforOffice"/>
          <w:lang w:val="en-GB"/>
        </w:rPr>
      </w:pPr>
      <w:r w:rsidRPr="00276F17">
        <w:rPr>
          <w:rFonts w:ascii="VELUXforOffice" w:hAnsi="VELUXforOffice" w:cs="Arial"/>
          <w:bCs/>
          <w:color w:val="000000" w:themeColor="text1"/>
          <w:sz w:val="20"/>
          <w:szCs w:val="20"/>
          <w:lang w:val="en-US"/>
        </w:rPr>
        <w:t xml:space="preserve">The VELUX Groups’ strategy is to expand its business from the residential market to the commercial market, and </w:t>
      </w:r>
      <w:r w:rsidRPr="00276F17">
        <w:rPr>
          <w:rFonts w:ascii="VELUXforOffice" w:eastAsia="Times New Roman" w:hAnsi="VELUXforOffice"/>
          <w:lang w:val="en-GB"/>
        </w:rPr>
        <w:t xml:space="preserve">not only bring daylight and fresh air into peoples’ homes - but </w:t>
      </w:r>
      <w:r w:rsidRPr="00276F17">
        <w:rPr>
          <w:rFonts w:ascii="VELUXforOffice" w:eastAsia="Times New Roman" w:hAnsi="VELUXforOffice"/>
          <w:b/>
          <w:lang w:val="en-GB"/>
        </w:rPr>
        <w:t>also</w:t>
      </w:r>
      <w:r w:rsidRPr="00276F17">
        <w:rPr>
          <w:rFonts w:ascii="VELUXforOffice" w:eastAsia="Times New Roman" w:hAnsi="VELUXforOffice"/>
          <w:lang w:val="en-GB"/>
        </w:rPr>
        <w:t xml:space="preserve"> to commercial buildings. The commercial market is all the other types of buildings, where people spend their time during the day: offices, schools, healthcare facilities, shopping malls and retail stores as well as large public buildings and industrial buildings.</w:t>
      </w:r>
    </w:p>
    <w:p w14:paraId="0B954D0A" w14:textId="77777777" w:rsidR="00123C87" w:rsidRPr="00276F17" w:rsidRDefault="00123C87" w:rsidP="00123C87">
      <w:pPr>
        <w:rPr>
          <w:rFonts w:ascii="VELUXforOffice" w:hAnsi="VELUXforOffice" w:cs="Arial"/>
          <w:bCs/>
          <w:color w:val="000000" w:themeColor="text1"/>
          <w:sz w:val="20"/>
          <w:szCs w:val="20"/>
          <w:lang w:val="en-GB"/>
        </w:rPr>
      </w:pPr>
      <w:r w:rsidRPr="00276F17">
        <w:rPr>
          <w:rFonts w:ascii="VELUXforOffice" w:hAnsi="VELUXforOffice" w:cs="Arial"/>
          <w:bCs/>
          <w:noProof/>
          <w:color w:val="000000" w:themeColor="text1"/>
          <w:sz w:val="20"/>
          <w:szCs w:val="20"/>
          <w:lang w:val="en-GB"/>
        </w:rPr>
        <w:drawing>
          <wp:inline distT="0" distB="0" distL="0" distR="0" wp14:anchorId="6EFB7493" wp14:editId="6E540679">
            <wp:extent cx="3190875" cy="3190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are building icons_rgb_antraci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1416" cy="3191416"/>
                    </a:xfrm>
                    <a:prstGeom prst="rect">
                      <a:avLst/>
                    </a:prstGeom>
                  </pic:spPr>
                </pic:pic>
              </a:graphicData>
            </a:graphic>
          </wp:inline>
        </w:drawing>
      </w:r>
    </w:p>
    <w:p w14:paraId="374C863C" w14:textId="33CDDA42" w:rsidR="00123C87" w:rsidRDefault="00123C87" w:rsidP="00FF4425">
      <w:pPr>
        <w:rPr>
          <w:rFonts w:ascii="VELUXforOffice" w:hAnsi="VELUXforOffice"/>
          <w:sz w:val="20"/>
          <w:szCs w:val="20"/>
          <w:lang w:val="en-GB"/>
        </w:rPr>
      </w:pPr>
    </w:p>
    <w:p w14:paraId="19166988" w14:textId="77777777" w:rsidR="00276F17" w:rsidRPr="00276F17" w:rsidRDefault="00276F17" w:rsidP="00276F17">
      <w:pPr>
        <w:rPr>
          <w:rFonts w:ascii="VELUXforOffice" w:hAnsi="VELUXforOffice"/>
          <w:sz w:val="20"/>
          <w:szCs w:val="20"/>
          <w:lang w:val="en-GB"/>
        </w:rPr>
      </w:pPr>
      <w:r w:rsidRPr="00276F17">
        <w:rPr>
          <w:rFonts w:ascii="VELUXforOffice" w:hAnsi="VELUXforOffice"/>
          <w:b/>
          <w:bCs/>
          <w:color w:val="000000" w:themeColor="text1"/>
          <w:sz w:val="20"/>
          <w:szCs w:val="20"/>
          <w:lang w:val="en-GB"/>
        </w:rPr>
        <w:t>Contact</w:t>
      </w:r>
      <w:r w:rsidRPr="00276F17">
        <w:rPr>
          <w:rFonts w:ascii="VELUXforOffice" w:hAnsi="VELUXforOffice"/>
          <w:color w:val="000000" w:themeColor="text1"/>
          <w:sz w:val="20"/>
          <w:szCs w:val="20"/>
          <w:lang w:val="en-GB"/>
        </w:rPr>
        <w:t>:</w:t>
      </w:r>
      <w:r w:rsidRPr="00276F17">
        <w:rPr>
          <w:rFonts w:ascii="VELUXforOffice" w:hAnsi="VELUXforOffice"/>
          <w:color w:val="000000" w:themeColor="text1"/>
          <w:sz w:val="20"/>
          <w:szCs w:val="20"/>
          <w:lang w:val="en-GB"/>
        </w:rPr>
        <w:br/>
      </w:r>
      <w:r w:rsidRPr="00276F17">
        <w:rPr>
          <w:rFonts w:ascii="VELUXforOffice" w:eastAsiaTheme="minorEastAsia" w:hAnsi="VELUXforOffice"/>
          <w:noProof/>
          <w:color w:val="000000" w:themeColor="text1"/>
          <w:sz w:val="20"/>
          <w:szCs w:val="20"/>
          <w:lang w:val="en-GB" w:eastAsia="da-DK"/>
        </w:rPr>
        <w:t>Jens Bekke, Director Global Media Relations in VELUX Group, +45 2155 0789</w:t>
      </w:r>
      <w:r w:rsidRPr="00276F17">
        <w:rPr>
          <w:rFonts w:ascii="VELUXforOffice" w:eastAsiaTheme="minorEastAsia" w:hAnsi="VELUXforOffice"/>
          <w:noProof/>
          <w:color w:val="000000" w:themeColor="text1"/>
          <w:sz w:val="20"/>
          <w:szCs w:val="20"/>
          <w:lang w:val="en-GB" w:eastAsia="da-DK"/>
        </w:rPr>
        <w:br/>
      </w:r>
    </w:p>
    <w:p w14:paraId="7B3AF55C" w14:textId="77777777" w:rsidR="00276F17" w:rsidRPr="00276F17" w:rsidRDefault="00276F17" w:rsidP="00FF4425">
      <w:pPr>
        <w:rPr>
          <w:rFonts w:ascii="VELUXforOffice" w:hAnsi="VELUXforOffice"/>
          <w:sz w:val="20"/>
          <w:szCs w:val="20"/>
          <w:lang w:val="en-GB"/>
        </w:rPr>
      </w:pPr>
    </w:p>
    <w:sectPr w:rsidR="00276F17" w:rsidRPr="00276F17" w:rsidSect="00774764">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C81A" w14:textId="77777777" w:rsidR="00962933" w:rsidRDefault="00962933" w:rsidP="00EF4130">
      <w:pPr>
        <w:spacing w:after="0" w:line="240" w:lineRule="auto"/>
      </w:pPr>
      <w:r>
        <w:separator/>
      </w:r>
    </w:p>
  </w:endnote>
  <w:endnote w:type="continuationSeparator" w:id="0">
    <w:p w14:paraId="6A9FEEE3" w14:textId="77777777" w:rsidR="00962933" w:rsidRDefault="00962933" w:rsidP="00EF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LUXforOffice">
    <w:panose1 w:val="02000506030000020004"/>
    <w:charset w:val="00"/>
    <w:family w:val="auto"/>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6BCF" w14:textId="77777777" w:rsidR="00962933" w:rsidRDefault="00962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69EE" w14:textId="77777777" w:rsidR="00962933" w:rsidRDefault="00962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99BC" w14:textId="77777777" w:rsidR="00962933" w:rsidRDefault="00962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6B055" w14:textId="77777777" w:rsidR="00962933" w:rsidRDefault="00962933" w:rsidP="00EF4130">
      <w:pPr>
        <w:spacing w:after="0" w:line="240" w:lineRule="auto"/>
      </w:pPr>
      <w:r>
        <w:separator/>
      </w:r>
    </w:p>
  </w:footnote>
  <w:footnote w:type="continuationSeparator" w:id="0">
    <w:p w14:paraId="57276660" w14:textId="77777777" w:rsidR="00962933" w:rsidRDefault="00962933" w:rsidP="00EF4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AC1F" w14:textId="77777777" w:rsidR="00962933" w:rsidRDefault="00962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209"/>
      <w:gridCol w:w="3209"/>
      <w:gridCol w:w="3210"/>
    </w:tblGrid>
    <w:tr w:rsidR="00962933" w14:paraId="57E3866F" w14:textId="77777777" w:rsidTr="00962933">
      <w:tc>
        <w:tcPr>
          <w:tcW w:w="3209" w:type="dxa"/>
          <w:vAlign w:val="bottom"/>
        </w:tcPr>
        <w:p w14:paraId="6EFE6A6D" w14:textId="77777777" w:rsidR="00962933" w:rsidRDefault="00962933" w:rsidP="00EF4130">
          <w:pPr>
            <w:pStyle w:val="Header"/>
            <w:jc w:val="center"/>
            <w:rPr>
              <w:lang w:val="en-US"/>
            </w:rPr>
          </w:pPr>
          <w:r>
            <w:rPr>
              <w:noProof/>
              <w:lang w:val="en-US"/>
            </w:rPr>
            <w:drawing>
              <wp:inline distT="0" distB="0" distL="0" distR="0" wp14:anchorId="4EA927EA" wp14:editId="0C49BB2E">
                <wp:extent cx="1612900" cy="533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_log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533400"/>
                        </a:xfrm>
                        <a:prstGeom prst="rect">
                          <a:avLst/>
                        </a:prstGeom>
                      </pic:spPr>
                    </pic:pic>
                  </a:graphicData>
                </a:graphic>
              </wp:inline>
            </w:drawing>
          </w:r>
        </w:p>
      </w:tc>
      <w:tc>
        <w:tcPr>
          <w:tcW w:w="3209" w:type="dxa"/>
          <w:vAlign w:val="bottom"/>
        </w:tcPr>
        <w:p w14:paraId="3145DB53" w14:textId="5054DF8E" w:rsidR="00962933" w:rsidRPr="00AA3825" w:rsidRDefault="00962933" w:rsidP="00EF4130">
          <w:pPr>
            <w:jc w:val="center"/>
          </w:pPr>
          <w:r>
            <w:fldChar w:fldCharType="begin"/>
          </w:r>
          <w:r>
            <w:instrText xml:space="preserve"> INCLUDEPICTURE "https://velux-my.sharepoint.com/var/folders/_y/80dpmchs59v15k6tnn45k0_c0000gp/T/com.microsoft.Word/WebArchiveCopyPasteTempFiles/a4gJg3f9plu8+rq6DvE0EmgC22hDFFGw1xuGdd0oBAAAAAAAAAAAAAAAAAAAAAAAAAACAIv8DxpzIC1bTODIAAAAASUVORK5CYII=" \* MERGEFORMAT </w:instrText>
          </w:r>
          <w:r>
            <w:fldChar w:fldCharType="end"/>
          </w:r>
        </w:p>
      </w:tc>
      <w:tc>
        <w:tcPr>
          <w:tcW w:w="3210" w:type="dxa"/>
        </w:tcPr>
        <w:p w14:paraId="5FFBBF37" w14:textId="57A102FE" w:rsidR="00962933" w:rsidRDefault="00962933" w:rsidP="00EF4130">
          <w:pPr>
            <w:pStyle w:val="Header"/>
            <w:rPr>
              <w:lang w:val="en-US"/>
            </w:rPr>
          </w:pPr>
          <w:r>
            <w:rPr>
              <w:noProof/>
              <w:lang w:val="en-US"/>
            </w:rPr>
            <w:t xml:space="preserve">           </w:t>
          </w:r>
          <w:r>
            <w:rPr>
              <w:noProof/>
              <w:lang w:val="en-US"/>
            </w:rPr>
            <w:drawing>
              <wp:inline distT="0" distB="0" distL="0" distR="0" wp14:anchorId="392ECD00" wp14:editId="093D4225">
                <wp:extent cx="725101" cy="637006"/>
                <wp:effectExtent l="0" t="0" r="0" b="0"/>
                <wp:docPr id="1" name="Picture 1" descr="C:\Users\jbk.vg-cbm\AppData\Local\Microsoft\Windows\INetCache\Content.Word\jet_logo_UKall_part_of_the_VELUX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k.vg-cbm\AppData\Local\Microsoft\Windows\INetCache\Content.Word\jet_logo_UKall_part_of_the_VELUX_Grou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01" cy="637006"/>
                        </a:xfrm>
                        <a:prstGeom prst="rect">
                          <a:avLst/>
                        </a:prstGeom>
                        <a:noFill/>
                        <a:ln>
                          <a:noFill/>
                        </a:ln>
                      </pic:spPr>
                    </pic:pic>
                  </a:graphicData>
                </a:graphic>
              </wp:inline>
            </w:drawing>
          </w:r>
        </w:p>
      </w:tc>
    </w:tr>
  </w:tbl>
  <w:p w14:paraId="3F9F796E" w14:textId="77777777" w:rsidR="00962933" w:rsidRDefault="00962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2A498" w14:textId="77777777" w:rsidR="00962933" w:rsidRDefault="00962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13479"/>
    <w:multiLevelType w:val="hybridMultilevel"/>
    <w:tmpl w:val="64602DA8"/>
    <w:lvl w:ilvl="0" w:tplc="E0FCB160">
      <w:start w:val="1"/>
      <w:numFmt w:val="bullet"/>
      <w:lvlText w:val="►"/>
      <w:lvlJc w:val="left"/>
      <w:pPr>
        <w:tabs>
          <w:tab w:val="num" w:pos="720"/>
        </w:tabs>
        <w:ind w:left="720" w:hanging="360"/>
      </w:pPr>
      <w:rPr>
        <w:rFonts w:ascii="Arial" w:hAnsi="Arial" w:hint="default"/>
      </w:rPr>
    </w:lvl>
    <w:lvl w:ilvl="1" w:tplc="3BDAA514" w:tentative="1">
      <w:start w:val="1"/>
      <w:numFmt w:val="bullet"/>
      <w:lvlText w:val="►"/>
      <w:lvlJc w:val="left"/>
      <w:pPr>
        <w:tabs>
          <w:tab w:val="num" w:pos="1440"/>
        </w:tabs>
        <w:ind w:left="1440" w:hanging="360"/>
      </w:pPr>
      <w:rPr>
        <w:rFonts w:ascii="Arial" w:hAnsi="Arial" w:hint="default"/>
      </w:rPr>
    </w:lvl>
    <w:lvl w:ilvl="2" w:tplc="7812EBF0" w:tentative="1">
      <w:start w:val="1"/>
      <w:numFmt w:val="bullet"/>
      <w:lvlText w:val="►"/>
      <w:lvlJc w:val="left"/>
      <w:pPr>
        <w:tabs>
          <w:tab w:val="num" w:pos="2160"/>
        </w:tabs>
        <w:ind w:left="2160" w:hanging="360"/>
      </w:pPr>
      <w:rPr>
        <w:rFonts w:ascii="Arial" w:hAnsi="Arial" w:hint="default"/>
      </w:rPr>
    </w:lvl>
    <w:lvl w:ilvl="3" w:tplc="D83E423C" w:tentative="1">
      <w:start w:val="1"/>
      <w:numFmt w:val="bullet"/>
      <w:lvlText w:val="►"/>
      <w:lvlJc w:val="left"/>
      <w:pPr>
        <w:tabs>
          <w:tab w:val="num" w:pos="2880"/>
        </w:tabs>
        <w:ind w:left="2880" w:hanging="360"/>
      </w:pPr>
      <w:rPr>
        <w:rFonts w:ascii="Arial" w:hAnsi="Arial" w:hint="default"/>
      </w:rPr>
    </w:lvl>
    <w:lvl w:ilvl="4" w:tplc="6DA030EC" w:tentative="1">
      <w:start w:val="1"/>
      <w:numFmt w:val="bullet"/>
      <w:lvlText w:val="►"/>
      <w:lvlJc w:val="left"/>
      <w:pPr>
        <w:tabs>
          <w:tab w:val="num" w:pos="3600"/>
        </w:tabs>
        <w:ind w:left="3600" w:hanging="360"/>
      </w:pPr>
      <w:rPr>
        <w:rFonts w:ascii="Arial" w:hAnsi="Arial" w:hint="default"/>
      </w:rPr>
    </w:lvl>
    <w:lvl w:ilvl="5" w:tplc="1DA47AB0" w:tentative="1">
      <w:start w:val="1"/>
      <w:numFmt w:val="bullet"/>
      <w:lvlText w:val="►"/>
      <w:lvlJc w:val="left"/>
      <w:pPr>
        <w:tabs>
          <w:tab w:val="num" w:pos="4320"/>
        </w:tabs>
        <w:ind w:left="4320" w:hanging="360"/>
      </w:pPr>
      <w:rPr>
        <w:rFonts w:ascii="Arial" w:hAnsi="Arial" w:hint="default"/>
      </w:rPr>
    </w:lvl>
    <w:lvl w:ilvl="6" w:tplc="0E6C9288" w:tentative="1">
      <w:start w:val="1"/>
      <w:numFmt w:val="bullet"/>
      <w:lvlText w:val="►"/>
      <w:lvlJc w:val="left"/>
      <w:pPr>
        <w:tabs>
          <w:tab w:val="num" w:pos="5040"/>
        </w:tabs>
        <w:ind w:left="5040" w:hanging="360"/>
      </w:pPr>
      <w:rPr>
        <w:rFonts w:ascii="Arial" w:hAnsi="Arial" w:hint="default"/>
      </w:rPr>
    </w:lvl>
    <w:lvl w:ilvl="7" w:tplc="DD0A4532" w:tentative="1">
      <w:start w:val="1"/>
      <w:numFmt w:val="bullet"/>
      <w:lvlText w:val="►"/>
      <w:lvlJc w:val="left"/>
      <w:pPr>
        <w:tabs>
          <w:tab w:val="num" w:pos="5760"/>
        </w:tabs>
        <w:ind w:left="5760" w:hanging="360"/>
      </w:pPr>
      <w:rPr>
        <w:rFonts w:ascii="Arial" w:hAnsi="Arial" w:hint="default"/>
      </w:rPr>
    </w:lvl>
    <w:lvl w:ilvl="8" w:tplc="20D282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6C9556B"/>
    <w:multiLevelType w:val="hybridMultilevel"/>
    <w:tmpl w:val="7E088E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3D"/>
    <w:rsid w:val="00003C40"/>
    <w:rsid w:val="0001067A"/>
    <w:rsid w:val="00013041"/>
    <w:rsid w:val="00014934"/>
    <w:rsid w:val="00023795"/>
    <w:rsid w:val="000462ED"/>
    <w:rsid w:val="00050643"/>
    <w:rsid w:val="00067127"/>
    <w:rsid w:val="00072DDF"/>
    <w:rsid w:val="000778C7"/>
    <w:rsid w:val="00097ABA"/>
    <w:rsid w:val="000A0A2A"/>
    <w:rsid w:val="000A2702"/>
    <w:rsid w:val="000B0052"/>
    <w:rsid w:val="000B0A6D"/>
    <w:rsid w:val="000B2D20"/>
    <w:rsid w:val="000B5665"/>
    <w:rsid w:val="000C0189"/>
    <w:rsid w:val="000D1789"/>
    <w:rsid w:val="000D4F1E"/>
    <w:rsid w:val="000E2083"/>
    <w:rsid w:val="000F1C53"/>
    <w:rsid w:val="000F34FF"/>
    <w:rsid w:val="00116D4D"/>
    <w:rsid w:val="00122687"/>
    <w:rsid w:val="00123C87"/>
    <w:rsid w:val="0012401E"/>
    <w:rsid w:val="00130FBF"/>
    <w:rsid w:val="00134633"/>
    <w:rsid w:val="00134932"/>
    <w:rsid w:val="00160A55"/>
    <w:rsid w:val="00180E16"/>
    <w:rsid w:val="0018296D"/>
    <w:rsid w:val="001B037C"/>
    <w:rsid w:val="001C4E77"/>
    <w:rsid w:val="001C7FB7"/>
    <w:rsid w:val="001E1068"/>
    <w:rsid w:val="002058A0"/>
    <w:rsid w:val="00220C9E"/>
    <w:rsid w:val="00235BC6"/>
    <w:rsid w:val="00245C53"/>
    <w:rsid w:val="00264C62"/>
    <w:rsid w:val="00266B1F"/>
    <w:rsid w:val="00274EBE"/>
    <w:rsid w:val="00275368"/>
    <w:rsid w:val="00276F17"/>
    <w:rsid w:val="002847E4"/>
    <w:rsid w:val="00287F2D"/>
    <w:rsid w:val="00290A2D"/>
    <w:rsid w:val="0029113F"/>
    <w:rsid w:val="002B6B13"/>
    <w:rsid w:val="002C06FC"/>
    <w:rsid w:val="002C1200"/>
    <w:rsid w:val="002F0BEC"/>
    <w:rsid w:val="003027A7"/>
    <w:rsid w:val="003146D8"/>
    <w:rsid w:val="003155C6"/>
    <w:rsid w:val="003332CB"/>
    <w:rsid w:val="003333D1"/>
    <w:rsid w:val="003546AD"/>
    <w:rsid w:val="0038223A"/>
    <w:rsid w:val="00390553"/>
    <w:rsid w:val="00395345"/>
    <w:rsid w:val="003A77A0"/>
    <w:rsid w:val="003B4B87"/>
    <w:rsid w:val="003B67AB"/>
    <w:rsid w:val="003E186B"/>
    <w:rsid w:val="003F7674"/>
    <w:rsid w:val="004175FF"/>
    <w:rsid w:val="0042311C"/>
    <w:rsid w:val="00445F2C"/>
    <w:rsid w:val="00451525"/>
    <w:rsid w:val="00452054"/>
    <w:rsid w:val="004641AF"/>
    <w:rsid w:val="00470FCD"/>
    <w:rsid w:val="00494FD5"/>
    <w:rsid w:val="00495FB5"/>
    <w:rsid w:val="004A3CBB"/>
    <w:rsid w:val="004B01CD"/>
    <w:rsid w:val="004D7E1A"/>
    <w:rsid w:val="0053653D"/>
    <w:rsid w:val="00537998"/>
    <w:rsid w:val="00544ADE"/>
    <w:rsid w:val="00555AA3"/>
    <w:rsid w:val="00580183"/>
    <w:rsid w:val="00584D10"/>
    <w:rsid w:val="005A0CD8"/>
    <w:rsid w:val="005A2CCA"/>
    <w:rsid w:val="005B2EDE"/>
    <w:rsid w:val="005B42AF"/>
    <w:rsid w:val="005C206E"/>
    <w:rsid w:val="005D5351"/>
    <w:rsid w:val="005D7EEB"/>
    <w:rsid w:val="005E23DD"/>
    <w:rsid w:val="005E7D3A"/>
    <w:rsid w:val="005F413C"/>
    <w:rsid w:val="00602780"/>
    <w:rsid w:val="00605327"/>
    <w:rsid w:val="00624209"/>
    <w:rsid w:val="00647221"/>
    <w:rsid w:val="0066090F"/>
    <w:rsid w:val="00672BE2"/>
    <w:rsid w:val="006A0CFB"/>
    <w:rsid w:val="006A6553"/>
    <w:rsid w:val="006B332F"/>
    <w:rsid w:val="006B4CCB"/>
    <w:rsid w:val="006C1C48"/>
    <w:rsid w:val="006C3CD1"/>
    <w:rsid w:val="006D0093"/>
    <w:rsid w:val="006F0D3F"/>
    <w:rsid w:val="007235AD"/>
    <w:rsid w:val="007558F7"/>
    <w:rsid w:val="00766D84"/>
    <w:rsid w:val="0077231D"/>
    <w:rsid w:val="00774764"/>
    <w:rsid w:val="007A28E1"/>
    <w:rsid w:val="007A3B75"/>
    <w:rsid w:val="007A5094"/>
    <w:rsid w:val="007A63F3"/>
    <w:rsid w:val="007B3188"/>
    <w:rsid w:val="007B4AF5"/>
    <w:rsid w:val="007B54D2"/>
    <w:rsid w:val="007C7723"/>
    <w:rsid w:val="007E54ED"/>
    <w:rsid w:val="00826E4A"/>
    <w:rsid w:val="008362DD"/>
    <w:rsid w:val="00843219"/>
    <w:rsid w:val="00845190"/>
    <w:rsid w:val="00850801"/>
    <w:rsid w:val="008540FE"/>
    <w:rsid w:val="00866D9D"/>
    <w:rsid w:val="00876DF8"/>
    <w:rsid w:val="008944C7"/>
    <w:rsid w:val="008952BA"/>
    <w:rsid w:val="008A0F23"/>
    <w:rsid w:val="008C5DF8"/>
    <w:rsid w:val="008D5534"/>
    <w:rsid w:val="008E0DF9"/>
    <w:rsid w:val="00903A7E"/>
    <w:rsid w:val="00907EC5"/>
    <w:rsid w:val="00920881"/>
    <w:rsid w:val="00931678"/>
    <w:rsid w:val="00956A7C"/>
    <w:rsid w:val="00962933"/>
    <w:rsid w:val="00975ACD"/>
    <w:rsid w:val="00987C11"/>
    <w:rsid w:val="009B7066"/>
    <w:rsid w:val="009D6D3D"/>
    <w:rsid w:val="009E1533"/>
    <w:rsid w:val="009E6149"/>
    <w:rsid w:val="00A07B29"/>
    <w:rsid w:val="00A10007"/>
    <w:rsid w:val="00A15231"/>
    <w:rsid w:val="00A2306E"/>
    <w:rsid w:val="00A26D4A"/>
    <w:rsid w:val="00A36D00"/>
    <w:rsid w:val="00A37CF1"/>
    <w:rsid w:val="00A509B0"/>
    <w:rsid w:val="00A52B9C"/>
    <w:rsid w:val="00A55277"/>
    <w:rsid w:val="00A57E9F"/>
    <w:rsid w:val="00A66F4C"/>
    <w:rsid w:val="00A67797"/>
    <w:rsid w:val="00A8532F"/>
    <w:rsid w:val="00A93EEA"/>
    <w:rsid w:val="00A944C1"/>
    <w:rsid w:val="00A9490C"/>
    <w:rsid w:val="00AC1CA3"/>
    <w:rsid w:val="00AC25D1"/>
    <w:rsid w:val="00AC449C"/>
    <w:rsid w:val="00AE553A"/>
    <w:rsid w:val="00B16E75"/>
    <w:rsid w:val="00B56127"/>
    <w:rsid w:val="00B84C78"/>
    <w:rsid w:val="00B93DE0"/>
    <w:rsid w:val="00BB3057"/>
    <w:rsid w:val="00BB784F"/>
    <w:rsid w:val="00BC45AF"/>
    <w:rsid w:val="00BD7458"/>
    <w:rsid w:val="00BF1B85"/>
    <w:rsid w:val="00C274E6"/>
    <w:rsid w:val="00C34ADD"/>
    <w:rsid w:val="00C60844"/>
    <w:rsid w:val="00C7620A"/>
    <w:rsid w:val="00C84639"/>
    <w:rsid w:val="00C94195"/>
    <w:rsid w:val="00CA0E25"/>
    <w:rsid w:val="00CB007B"/>
    <w:rsid w:val="00CB09E3"/>
    <w:rsid w:val="00CB0E29"/>
    <w:rsid w:val="00CB7189"/>
    <w:rsid w:val="00CE2895"/>
    <w:rsid w:val="00CF575B"/>
    <w:rsid w:val="00D06E6E"/>
    <w:rsid w:val="00D2414A"/>
    <w:rsid w:val="00D430A2"/>
    <w:rsid w:val="00D70CF7"/>
    <w:rsid w:val="00D82854"/>
    <w:rsid w:val="00D95847"/>
    <w:rsid w:val="00DC0032"/>
    <w:rsid w:val="00DC146E"/>
    <w:rsid w:val="00DC5F52"/>
    <w:rsid w:val="00DC657E"/>
    <w:rsid w:val="00DE09CB"/>
    <w:rsid w:val="00DE646D"/>
    <w:rsid w:val="00E02B54"/>
    <w:rsid w:val="00E10491"/>
    <w:rsid w:val="00E202E3"/>
    <w:rsid w:val="00E2509F"/>
    <w:rsid w:val="00E418A8"/>
    <w:rsid w:val="00E4563C"/>
    <w:rsid w:val="00E6149D"/>
    <w:rsid w:val="00E64232"/>
    <w:rsid w:val="00E77FBF"/>
    <w:rsid w:val="00E86D23"/>
    <w:rsid w:val="00EA09F5"/>
    <w:rsid w:val="00EA3440"/>
    <w:rsid w:val="00EA4FC5"/>
    <w:rsid w:val="00EA5AA6"/>
    <w:rsid w:val="00EB1E49"/>
    <w:rsid w:val="00ED0B8E"/>
    <w:rsid w:val="00EE54B4"/>
    <w:rsid w:val="00EF4130"/>
    <w:rsid w:val="00F0295B"/>
    <w:rsid w:val="00F029A1"/>
    <w:rsid w:val="00F11410"/>
    <w:rsid w:val="00F125BB"/>
    <w:rsid w:val="00F236B5"/>
    <w:rsid w:val="00F4136E"/>
    <w:rsid w:val="00F457AC"/>
    <w:rsid w:val="00F604A9"/>
    <w:rsid w:val="00F65DA2"/>
    <w:rsid w:val="00F8393D"/>
    <w:rsid w:val="00FB1CD7"/>
    <w:rsid w:val="00FE1092"/>
    <w:rsid w:val="00FF1611"/>
    <w:rsid w:val="00FF4425"/>
    <w:rsid w:val="02BAD3C8"/>
    <w:rsid w:val="133A84E9"/>
    <w:rsid w:val="1423C9BE"/>
    <w:rsid w:val="1CE9865C"/>
    <w:rsid w:val="1D6C3D03"/>
    <w:rsid w:val="203E2A28"/>
    <w:rsid w:val="26E5B322"/>
    <w:rsid w:val="2B92242C"/>
    <w:rsid w:val="2BFE3EDB"/>
    <w:rsid w:val="302A168B"/>
    <w:rsid w:val="302DD19D"/>
    <w:rsid w:val="307AA88E"/>
    <w:rsid w:val="32B601D4"/>
    <w:rsid w:val="38A89A0A"/>
    <w:rsid w:val="39DDD728"/>
    <w:rsid w:val="3BB608AA"/>
    <w:rsid w:val="4166E3B9"/>
    <w:rsid w:val="45F5D3D6"/>
    <w:rsid w:val="46CC4BCF"/>
    <w:rsid w:val="4C7EE0A1"/>
    <w:rsid w:val="4C992C18"/>
    <w:rsid w:val="53229433"/>
    <w:rsid w:val="55466D8C"/>
    <w:rsid w:val="57B7971E"/>
    <w:rsid w:val="58D6CB83"/>
    <w:rsid w:val="5AA4A16E"/>
    <w:rsid w:val="5D2CD41C"/>
    <w:rsid w:val="60E49CF2"/>
    <w:rsid w:val="62C71790"/>
    <w:rsid w:val="68EC31FA"/>
    <w:rsid w:val="68F5689F"/>
    <w:rsid w:val="6B231B36"/>
    <w:rsid w:val="6B2A0A0D"/>
    <w:rsid w:val="6C014BFB"/>
    <w:rsid w:val="6F3FDC04"/>
    <w:rsid w:val="75C9266A"/>
    <w:rsid w:val="791DF9E0"/>
    <w:rsid w:val="7D2102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BA36F0"/>
  <w15:chartTrackingRefBased/>
  <w15:docId w15:val="{897DEBD1-822F-4FE7-BEB8-0BC723E9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D2"/>
    <w:rPr>
      <w:rFonts w:ascii="Segoe UI" w:hAnsi="Segoe UI" w:cs="Segoe UI"/>
      <w:sz w:val="18"/>
      <w:szCs w:val="18"/>
    </w:rPr>
  </w:style>
  <w:style w:type="character" w:styleId="Hyperlink">
    <w:name w:val="Hyperlink"/>
    <w:basedOn w:val="DefaultParagraphFont"/>
    <w:uiPriority w:val="99"/>
    <w:unhideWhenUsed/>
    <w:rsid w:val="008E0DF9"/>
    <w:rPr>
      <w:color w:val="0563C1" w:themeColor="hyperlink"/>
      <w:u w:val="single"/>
    </w:rPr>
  </w:style>
  <w:style w:type="character" w:styleId="UnresolvedMention">
    <w:name w:val="Unresolved Mention"/>
    <w:basedOn w:val="DefaultParagraphFont"/>
    <w:uiPriority w:val="99"/>
    <w:semiHidden/>
    <w:unhideWhenUsed/>
    <w:rsid w:val="008E0DF9"/>
    <w:rPr>
      <w:color w:val="808080"/>
      <w:shd w:val="clear" w:color="auto" w:fill="E6E6E6"/>
    </w:rPr>
  </w:style>
  <w:style w:type="character" w:styleId="CommentReference">
    <w:name w:val="annotation reference"/>
    <w:basedOn w:val="DefaultParagraphFont"/>
    <w:uiPriority w:val="99"/>
    <w:semiHidden/>
    <w:unhideWhenUsed/>
    <w:rsid w:val="004175FF"/>
    <w:rPr>
      <w:sz w:val="16"/>
      <w:szCs w:val="16"/>
    </w:rPr>
  </w:style>
  <w:style w:type="paragraph" w:styleId="CommentText">
    <w:name w:val="annotation text"/>
    <w:basedOn w:val="Normal"/>
    <w:link w:val="CommentTextChar"/>
    <w:uiPriority w:val="99"/>
    <w:semiHidden/>
    <w:unhideWhenUsed/>
    <w:rsid w:val="004175FF"/>
    <w:pPr>
      <w:spacing w:line="240" w:lineRule="auto"/>
    </w:pPr>
    <w:rPr>
      <w:sz w:val="20"/>
      <w:szCs w:val="20"/>
    </w:rPr>
  </w:style>
  <w:style w:type="character" w:customStyle="1" w:styleId="CommentTextChar">
    <w:name w:val="Comment Text Char"/>
    <w:basedOn w:val="DefaultParagraphFont"/>
    <w:link w:val="CommentText"/>
    <w:uiPriority w:val="99"/>
    <w:semiHidden/>
    <w:rsid w:val="004175FF"/>
    <w:rPr>
      <w:sz w:val="20"/>
      <w:szCs w:val="20"/>
    </w:rPr>
  </w:style>
  <w:style w:type="paragraph" w:styleId="CommentSubject">
    <w:name w:val="annotation subject"/>
    <w:basedOn w:val="CommentText"/>
    <w:next w:val="CommentText"/>
    <w:link w:val="CommentSubjectChar"/>
    <w:uiPriority w:val="99"/>
    <w:semiHidden/>
    <w:unhideWhenUsed/>
    <w:rsid w:val="004175FF"/>
    <w:rPr>
      <w:b/>
      <w:bCs/>
    </w:rPr>
  </w:style>
  <w:style w:type="character" w:customStyle="1" w:styleId="CommentSubjectChar">
    <w:name w:val="Comment Subject Char"/>
    <w:basedOn w:val="CommentTextChar"/>
    <w:link w:val="CommentSubject"/>
    <w:uiPriority w:val="99"/>
    <w:semiHidden/>
    <w:rsid w:val="004175FF"/>
    <w:rPr>
      <w:b/>
      <w:bCs/>
      <w:sz w:val="20"/>
      <w:szCs w:val="20"/>
    </w:rPr>
  </w:style>
  <w:style w:type="paragraph" w:styleId="ListParagraph">
    <w:name w:val="List Paragraph"/>
    <w:basedOn w:val="Normal"/>
    <w:uiPriority w:val="34"/>
    <w:qFormat/>
    <w:rsid w:val="003A77A0"/>
    <w:pPr>
      <w:ind w:left="720"/>
      <w:contextualSpacing/>
    </w:pPr>
  </w:style>
  <w:style w:type="paragraph" w:styleId="Revision">
    <w:name w:val="Revision"/>
    <w:hidden/>
    <w:uiPriority w:val="99"/>
    <w:semiHidden/>
    <w:rsid w:val="00AC1CA3"/>
    <w:pPr>
      <w:spacing w:after="0" w:line="240" w:lineRule="auto"/>
    </w:pPr>
  </w:style>
  <w:style w:type="paragraph" w:styleId="Header">
    <w:name w:val="header"/>
    <w:basedOn w:val="Normal"/>
    <w:link w:val="HeaderChar"/>
    <w:uiPriority w:val="99"/>
    <w:unhideWhenUsed/>
    <w:rsid w:val="00EF41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4130"/>
  </w:style>
  <w:style w:type="paragraph" w:styleId="Footer">
    <w:name w:val="footer"/>
    <w:basedOn w:val="Normal"/>
    <w:link w:val="FooterChar"/>
    <w:uiPriority w:val="99"/>
    <w:unhideWhenUsed/>
    <w:rsid w:val="00EF41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4130"/>
  </w:style>
  <w:style w:type="table" w:styleId="TableGrid">
    <w:name w:val="Table Grid"/>
    <w:basedOn w:val="TableNormal"/>
    <w:rsid w:val="00EF413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2453">
      <w:bodyDiv w:val="1"/>
      <w:marLeft w:val="0"/>
      <w:marRight w:val="0"/>
      <w:marTop w:val="0"/>
      <w:marBottom w:val="0"/>
      <w:divBdr>
        <w:top w:val="none" w:sz="0" w:space="0" w:color="auto"/>
        <w:left w:val="none" w:sz="0" w:space="0" w:color="auto"/>
        <w:bottom w:val="none" w:sz="0" w:space="0" w:color="auto"/>
        <w:right w:val="none" w:sz="0" w:space="0" w:color="auto"/>
      </w:divBdr>
      <w:divsChild>
        <w:div w:id="1108038635">
          <w:marLeft w:val="0"/>
          <w:marRight w:val="0"/>
          <w:marTop w:val="0"/>
          <w:marBottom w:val="120"/>
          <w:divBdr>
            <w:top w:val="none" w:sz="0" w:space="0" w:color="auto"/>
            <w:left w:val="none" w:sz="0" w:space="0" w:color="auto"/>
            <w:bottom w:val="none" w:sz="0" w:space="0" w:color="auto"/>
            <w:right w:val="none" w:sz="0" w:space="0" w:color="auto"/>
          </w:divBdr>
        </w:div>
        <w:div w:id="1576280825">
          <w:marLeft w:val="0"/>
          <w:marRight w:val="0"/>
          <w:marTop w:val="0"/>
          <w:marBottom w:val="120"/>
          <w:divBdr>
            <w:top w:val="none" w:sz="0" w:space="0" w:color="auto"/>
            <w:left w:val="none" w:sz="0" w:space="0" w:color="auto"/>
            <w:bottom w:val="none" w:sz="0" w:space="0" w:color="auto"/>
            <w:right w:val="none" w:sz="0" w:space="0" w:color="auto"/>
          </w:divBdr>
        </w:div>
        <w:div w:id="952203549">
          <w:marLeft w:val="0"/>
          <w:marRight w:val="0"/>
          <w:marTop w:val="0"/>
          <w:marBottom w:val="120"/>
          <w:divBdr>
            <w:top w:val="none" w:sz="0" w:space="0" w:color="auto"/>
            <w:left w:val="none" w:sz="0" w:space="0" w:color="auto"/>
            <w:bottom w:val="none" w:sz="0" w:space="0" w:color="auto"/>
            <w:right w:val="none" w:sz="0" w:space="0" w:color="auto"/>
          </w:divBdr>
        </w:div>
        <w:div w:id="814184410">
          <w:marLeft w:val="0"/>
          <w:marRight w:val="0"/>
          <w:marTop w:val="0"/>
          <w:marBottom w:val="120"/>
          <w:divBdr>
            <w:top w:val="none" w:sz="0" w:space="0" w:color="auto"/>
            <w:left w:val="none" w:sz="0" w:space="0" w:color="auto"/>
            <w:bottom w:val="none" w:sz="0" w:space="0" w:color="auto"/>
            <w:right w:val="none" w:sz="0" w:space="0" w:color="auto"/>
          </w:divBdr>
        </w:div>
      </w:divsChild>
    </w:div>
    <w:div w:id="342754870">
      <w:bodyDiv w:val="1"/>
      <w:marLeft w:val="0"/>
      <w:marRight w:val="0"/>
      <w:marTop w:val="0"/>
      <w:marBottom w:val="0"/>
      <w:divBdr>
        <w:top w:val="none" w:sz="0" w:space="0" w:color="auto"/>
        <w:left w:val="none" w:sz="0" w:space="0" w:color="auto"/>
        <w:bottom w:val="none" w:sz="0" w:space="0" w:color="auto"/>
        <w:right w:val="none" w:sz="0" w:space="0" w:color="auto"/>
      </w:divBdr>
    </w:div>
    <w:div w:id="523907681">
      <w:bodyDiv w:val="1"/>
      <w:marLeft w:val="0"/>
      <w:marRight w:val="0"/>
      <w:marTop w:val="0"/>
      <w:marBottom w:val="0"/>
      <w:divBdr>
        <w:top w:val="none" w:sz="0" w:space="0" w:color="auto"/>
        <w:left w:val="none" w:sz="0" w:space="0" w:color="auto"/>
        <w:bottom w:val="none" w:sz="0" w:space="0" w:color="auto"/>
        <w:right w:val="none" w:sz="0" w:space="0" w:color="auto"/>
      </w:divBdr>
    </w:div>
    <w:div w:id="875504615">
      <w:bodyDiv w:val="1"/>
      <w:marLeft w:val="0"/>
      <w:marRight w:val="0"/>
      <w:marTop w:val="0"/>
      <w:marBottom w:val="0"/>
      <w:divBdr>
        <w:top w:val="none" w:sz="0" w:space="0" w:color="auto"/>
        <w:left w:val="none" w:sz="0" w:space="0" w:color="auto"/>
        <w:bottom w:val="none" w:sz="0" w:space="0" w:color="auto"/>
        <w:right w:val="none" w:sz="0" w:space="0" w:color="auto"/>
      </w:divBdr>
    </w:div>
    <w:div w:id="1267616037">
      <w:bodyDiv w:val="1"/>
      <w:marLeft w:val="0"/>
      <w:marRight w:val="0"/>
      <w:marTop w:val="0"/>
      <w:marBottom w:val="0"/>
      <w:divBdr>
        <w:top w:val="none" w:sz="0" w:space="0" w:color="auto"/>
        <w:left w:val="none" w:sz="0" w:space="0" w:color="auto"/>
        <w:bottom w:val="none" w:sz="0" w:space="0" w:color="auto"/>
        <w:right w:val="none" w:sz="0" w:space="0" w:color="auto"/>
      </w:divBdr>
    </w:div>
    <w:div w:id="1294024281">
      <w:bodyDiv w:val="1"/>
      <w:marLeft w:val="0"/>
      <w:marRight w:val="0"/>
      <w:marTop w:val="0"/>
      <w:marBottom w:val="0"/>
      <w:divBdr>
        <w:top w:val="none" w:sz="0" w:space="0" w:color="auto"/>
        <w:left w:val="none" w:sz="0" w:space="0" w:color="auto"/>
        <w:bottom w:val="none" w:sz="0" w:space="0" w:color="auto"/>
        <w:right w:val="none" w:sz="0" w:space="0" w:color="auto"/>
      </w:divBdr>
      <w:divsChild>
        <w:div w:id="1241987648">
          <w:marLeft w:val="274"/>
          <w:marRight w:val="0"/>
          <w:marTop w:val="0"/>
          <w:marBottom w:val="120"/>
          <w:divBdr>
            <w:top w:val="none" w:sz="0" w:space="0" w:color="auto"/>
            <w:left w:val="none" w:sz="0" w:space="0" w:color="auto"/>
            <w:bottom w:val="none" w:sz="0" w:space="0" w:color="auto"/>
            <w:right w:val="none" w:sz="0" w:space="0" w:color="auto"/>
          </w:divBdr>
        </w:div>
      </w:divsChild>
    </w:div>
    <w:div w:id="1636908906">
      <w:bodyDiv w:val="1"/>
      <w:marLeft w:val="0"/>
      <w:marRight w:val="0"/>
      <w:marTop w:val="0"/>
      <w:marBottom w:val="0"/>
      <w:divBdr>
        <w:top w:val="none" w:sz="0" w:space="0" w:color="auto"/>
        <w:left w:val="none" w:sz="0" w:space="0" w:color="auto"/>
        <w:bottom w:val="none" w:sz="0" w:space="0" w:color="auto"/>
        <w:right w:val="none" w:sz="0" w:space="0" w:color="auto"/>
      </w:divBdr>
      <w:divsChild>
        <w:div w:id="1101683771">
          <w:marLeft w:val="0"/>
          <w:marRight w:val="0"/>
          <w:marTop w:val="0"/>
          <w:marBottom w:val="120"/>
          <w:divBdr>
            <w:top w:val="none" w:sz="0" w:space="0" w:color="auto"/>
            <w:left w:val="none" w:sz="0" w:space="0" w:color="auto"/>
            <w:bottom w:val="none" w:sz="0" w:space="0" w:color="auto"/>
            <w:right w:val="none" w:sz="0" w:space="0" w:color="auto"/>
          </w:divBdr>
        </w:div>
      </w:divsChild>
    </w:div>
    <w:div w:id="1648435934">
      <w:bodyDiv w:val="1"/>
      <w:marLeft w:val="0"/>
      <w:marRight w:val="0"/>
      <w:marTop w:val="0"/>
      <w:marBottom w:val="0"/>
      <w:divBdr>
        <w:top w:val="none" w:sz="0" w:space="0" w:color="auto"/>
        <w:left w:val="none" w:sz="0" w:space="0" w:color="auto"/>
        <w:bottom w:val="none" w:sz="0" w:space="0" w:color="auto"/>
        <w:right w:val="none" w:sz="0" w:space="0" w:color="auto"/>
      </w:divBdr>
      <w:divsChild>
        <w:div w:id="1914389982">
          <w:marLeft w:val="0"/>
          <w:marRight w:val="0"/>
          <w:marTop w:val="0"/>
          <w:marBottom w:val="0"/>
          <w:divBdr>
            <w:top w:val="none" w:sz="0" w:space="0" w:color="auto"/>
            <w:left w:val="none" w:sz="0" w:space="0" w:color="auto"/>
            <w:bottom w:val="none" w:sz="0" w:space="0" w:color="auto"/>
            <w:right w:val="none" w:sz="0" w:space="0" w:color="auto"/>
          </w:divBdr>
          <w:divsChild>
            <w:div w:id="474294995">
              <w:marLeft w:val="0"/>
              <w:marRight w:val="0"/>
              <w:marTop w:val="0"/>
              <w:marBottom w:val="0"/>
              <w:divBdr>
                <w:top w:val="none" w:sz="0" w:space="0" w:color="auto"/>
                <w:left w:val="none" w:sz="0" w:space="0" w:color="auto"/>
                <w:bottom w:val="none" w:sz="0" w:space="0" w:color="auto"/>
                <w:right w:val="none" w:sz="0" w:space="0" w:color="auto"/>
              </w:divBdr>
              <w:divsChild>
                <w:div w:id="1358462345">
                  <w:marLeft w:val="0"/>
                  <w:marRight w:val="0"/>
                  <w:marTop w:val="0"/>
                  <w:marBottom w:val="0"/>
                  <w:divBdr>
                    <w:top w:val="none" w:sz="0" w:space="0" w:color="auto"/>
                    <w:left w:val="none" w:sz="0" w:space="0" w:color="auto"/>
                    <w:bottom w:val="none" w:sz="0" w:space="0" w:color="auto"/>
                    <w:right w:val="none" w:sz="0" w:space="0" w:color="auto"/>
                  </w:divBdr>
                  <w:divsChild>
                    <w:div w:id="1324620247">
                      <w:marLeft w:val="0"/>
                      <w:marRight w:val="0"/>
                      <w:marTop w:val="0"/>
                      <w:marBottom w:val="0"/>
                      <w:divBdr>
                        <w:top w:val="none" w:sz="0" w:space="0" w:color="auto"/>
                        <w:left w:val="none" w:sz="0" w:space="0" w:color="auto"/>
                        <w:bottom w:val="none" w:sz="0" w:space="0" w:color="auto"/>
                        <w:right w:val="none" w:sz="0" w:space="0" w:color="auto"/>
                      </w:divBdr>
                      <w:divsChild>
                        <w:div w:id="1209561561">
                          <w:marLeft w:val="0"/>
                          <w:marRight w:val="0"/>
                          <w:marTop w:val="0"/>
                          <w:marBottom w:val="0"/>
                          <w:divBdr>
                            <w:top w:val="none" w:sz="0" w:space="0" w:color="auto"/>
                            <w:left w:val="none" w:sz="0" w:space="0" w:color="auto"/>
                            <w:bottom w:val="none" w:sz="0" w:space="0" w:color="auto"/>
                            <w:right w:val="none" w:sz="0" w:space="0" w:color="auto"/>
                          </w:divBdr>
                          <w:divsChild>
                            <w:div w:id="388765466">
                              <w:marLeft w:val="0"/>
                              <w:marRight w:val="5400"/>
                              <w:marTop w:val="0"/>
                              <w:marBottom w:val="0"/>
                              <w:divBdr>
                                <w:top w:val="none" w:sz="0" w:space="0" w:color="auto"/>
                                <w:left w:val="none" w:sz="0" w:space="0" w:color="auto"/>
                                <w:bottom w:val="none" w:sz="0" w:space="0" w:color="auto"/>
                                <w:right w:val="none" w:sz="0" w:space="0" w:color="auto"/>
                              </w:divBdr>
                              <w:divsChild>
                                <w:div w:id="2054231556">
                                  <w:marLeft w:val="0"/>
                                  <w:marRight w:val="0"/>
                                  <w:marTop w:val="0"/>
                                  <w:marBottom w:val="0"/>
                                  <w:divBdr>
                                    <w:top w:val="none" w:sz="0" w:space="0" w:color="auto"/>
                                    <w:left w:val="none" w:sz="0" w:space="0" w:color="auto"/>
                                    <w:bottom w:val="none" w:sz="0" w:space="0" w:color="auto"/>
                                    <w:right w:val="none" w:sz="0" w:space="0" w:color="auto"/>
                                  </w:divBdr>
                                  <w:divsChild>
                                    <w:div w:id="1210339253">
                                      <w:marLeft w:val="0"/>
                                      <w:marRight w:val="0"/>
                                      <w:marTop w:val="0"/>
                                      <w:marBottom w:val="300"/>
                                      <w:divBdr>
                                        <w:top w:val="none" w:sz="0" w:space="0" w:color="auto"/>
                                        <w:left w:val="none" w:sz="0" w:space="0" w:color="auto"/>
                                        <w:bottom w:val="none" w:sz="0" w:space="0" w:color="auto"/>
                                        <w:right w:val="none" w:sz="0" w:space="0" w:color="auto"/>
                                      </w:divBdr>
                                      <w:divsChild>
                                        <w:div w:id="706490183">
                                          <w:marLeft w:val="0"/>
                                          <w:marRight w:val="0"/>
                                          <w:marTop w:val="0"/>
                                          <w:marBottom w:val="0"/>
                                          <w:divBdr>
                                            <w:top w:val="none" w:sz="0" w:space="0" w:color="auto"/>
                                            <w:left w:val="none" w:sz="0" w:space="0" w:color="auto"/>
                                            <w:bottom w:val="none" w:sz="0" w:space="0" w:color="auto"/>
                                            <w:right w:val="none" w:sz="0" w:space="0" w:color="auto"/>
                                          </w:divBdr>
                                          <w:divsChild>
                                            <w:div w:id="14962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167844">
      <w:bodyDiv w:val="1"/>
      <w:marLeft w:val="0"/>
      <w:marRight w:val="0"/>
      <w:marTop w:val="0"/>
      <w:marBottom w:val="0"/>
      <w:divBdr>
        <w:top w:val="none" w:sz="0" w:space="0" w:color="auto"/>
        <w:left w:val="none" w:sz="0" w:space="0" w:color="auto"/>
        <w:bottom w:val="none" w:sz="0" w:space="0" w:color="auto"/>
        <w:right w:val="none" w:sz="0" w:space="0" w:color="auto"/>
      </w:divBdr>
      <w:divsChild>
        <w:div w:id="787817996">
          <w:marLeft w:val="288"/>
          <w:marRight w:val="0"/>
          <w:marTop w:val="0"/>
          <w:marBottom w:val="120"/>
          <w:divBdr>
            <w:top w:val="none" w:sz="0" w:space="0" w:color="auto"/>
            <w:left w:val="none" w:sz="0" w:space="0" w:color="auto"/>
            <w:bottom w:val="none" w:sz="0" w:space="0" w:color="auto"/>
            <w:right w:val="none" w:sz="0" w:space="0" w:color="auto"/>
          </w:divBdr>
        </w:div>
        <w:div w:id="1245529626">
          <w:marLeft w:val="562"/>
          <w:marRight w:val="0"/>
          <w:marTop w:val="0"/>
          <w:marBottom w:val="120"/>
          <w:divBdr>
            <w:top w:val="none" w:sz="0" w:space="0" w:color="auto"/>
            <w:left w:val="none" w:sz="0" w:space="0" w:color="auto"/>
            <w:bottom w:val="none" w:sz="0" w:space="0" w:color="auto"/>
            <w:right w:val="none" w:sz="0" w:space="0" w:color="auto"/>
          </w:divBdr>
        </w:div>
        <w:div w:id="2091659911">
          <w:marLeft w:val="562"/>
          <w:marRight w:val="0"/>
          <w:marTop w:val="0"/>
          <w:marBottom w:val="120"/>
          <w:divBdr>
            <w:top w:val="none" w:sz="0" w:space="0" w:color="auto"/>
            <w:left w:val="none" w:sz="0" w:space="0" w:color="auto"/>
            <w:bottom w:val="none" w:sz="0" w:space="0" w:color="auto"/>
            <w:right w:val="none" w:sz="0" w:space="0" w:color="auto"/>
          </w:divBdr>
        </w:div>
      </w:divsChild>
    </w:div>
    <w:div w:id="19586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lux.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62CA8F76BE6B4C8F0AF6B52D5E3806" ma:contentTypeVersion="8" ma:contentTypeDescription="Opret et nyt dokument." ma:contentTypeScope="" ma:versionID="4749cae088d2b06246c7b889271847c5">
  <xsd:schema xmlns:xsd="http://www.w3.org/2001/XMLSchema" xmlns:xs="http://www.w3.org/2001/XMLSchema" xmlns:p="http://schemas.microsoft.com/office/2006/metadata/properties" xmlns:ns2="a2d652a9-9658-42cf-b31b-d4d2ad0eafb9" xmlns:ns3="49c37c6a-6038-4dfa-8798-d65a35c7abad" targetNamespace="http://schemas.microsoft.com/office/2006/metadata/properties" ma:root="true" ma:fieldsID="3813c086fea16c646b9f36c3306beff3" ns2:_="" ns3:_="">
    <xsd:import namespace="a2d652a9-9658-42cf-b31b-d4d2ad0eafb9"/>
    <xsd:import namespace="49c37c6a-6038-4dfa-8798-d65a35c7ab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652a9-9658-42cf-b31b-d4d2ad0ea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c37c6a-6038-4dfa-8798-d65a35c7aba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9c37c6a-6038-4dfa-8798-d65a35c7abad">
      <UserInfo>
        <DisplayName>Irene Brandt</DisplayName>
        <AccountId>56</AccountId>
        <AccountType/>
      </UserInfo>
      <UserInfo>
        <DisplayName>Jacob Kjeldgaard Olsen</DisplayName>
        <AccountId>6</AccountId>
        <AccountType/>
      </UserInfo>
      <UserInfo>
        <DisplayName>Jens Bekke</DisplayName>
        <AccountId>57</AccountId>
        <AccountType/>
      </UserInfo>
      <UserInfo>
        <DisplayName>Patrick W. McKenzie</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5F725-F31E-4683-9400-202BE858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652a9-9658-42cf-b31b-d4d2ad0eafb9"/>
    <ds:schemaRef ds:uri="49c37c6a-6038-4dfa-8798-d65a35c7a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B19CE-642B-45F9-92A6-853D479455B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9c37c6a-6038-4dfa-8798-d65a35c7abad"/>
    <ds:schemaRef ds:uri="a2d652a9-9658-42cf-b31b-d4d2ad0eafb9"/>
    <ds:schemaRef ds:uri="http://www.w3.org/XML/1998/namespace"/>
    <ds:schemaRef ds:uri="http://purl.org/dc/dcmitype/"/>
  </ds:schemaRefs>
</ds:datastoreItem>
</file>

<file path=customXml/itemProps3.xml><?xml version="1.0" encoding="utf-8"?>
<ds:datastoreItem xmlns:ds="http://schemas.openxmlformats.org/officeDocument/2006/customXml" ds:itemID="{C035398C-2AA4-4A8D-B5A4-45DC33BDB872}">
  <ds:schemaRefs>
    <ds:schemaRef ds:uri="http://schemas.microsoft.com/sharepoint/v3/contenttype/forms"/>
  </ds:schemaRefs>
</ds:datastoreItem>
</file>

<file path=customXml/itemProps4.xml><?xml version="1.0" encoding="utf-8"?>
<ds:datastoreItem xmlns:ds="http://schemas.openxmlformats.org/officeDocument/2006/customXml" ds:itemID="{E9489087-8BB3-4EDD-BD44-43802BA6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5608</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Bekke</dc:creator>
  <cp:keywords/>
  <dc:description/>
  <cp:lastModifiedBy>Christine Bjørnager</cp:lastModifiedBy>
  <cp:revision>2</cp:revision>
  <cp:lastPrinted>2018-11-13T11:47:00Z</cp:lastPrinted>
  <dcterms:created xsi:type="dcterms:W3CDTF">2019-01-10T15:35:00Z</dcterms:created>
  <dcterms:modified xsi:type="dcterms:W3CDTF">2019-01-10T15:35:00Z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0x0101007662CA8F76BE6B4C8F0AF6B52D5E3806</vt:lpwstr>
  </property>
</Properties>
</file>