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DDFE4" w14:textId="77777777" w:rsidR="00014934" w:rsidRPr="003B4559" w:rsidRDefault="0053653D">
      <w:pPr>
        <w:rPr>
          <w:rFonts w:ascii="Arial" w:hAnsi="Arial" w:cs="Arial"/>
          <w:lang w:val="de-DE"/>
        </w:rPr>
      </w:pPr>
      <w:r w:rsidRPr="003B4559">
        <w:rPr>
          <w:rFonts w:ascii="Arial" w:hAnsi="Arial" w:cs="Arial"/>
          <w:lang w:val="de-DE"/>
        </w:rPr>
        <w:t>Presse</w:t>
      </w:r>
      <w:r w:rsidR="000D2F2D" w:rsidRPr="003B4559">
        <w:rPr>
          <w:rFonts w:ascii="Arial" w:hAnsi="Arial" w:cs="Arial"/>
          <w:lang w:val="de-DE"/>
        </w:rPr>
        <w:t>information: VELUX Commercial</w:t>
      </w:r>
    </w:p>
    <w:p w14:paraId="2EB31501" w14:textId="0FA654CF" w:rsidR="002808E4" w:rsidRPr="003B4559" w:rsidRDefault="0024708C" w:rsidP="001E29CE">
      <w:pPr>
        <w:pStyle w:val="CommentText"/>
        <w:spacing w:line="360" w:lineRule="auto"/>
        <w:rPr>
          <w:lang w:val="de-DE"/>
        </w:rPr>
      </w:pPr>
      <w:r>
        <w:rPr>
          <w:rFonts w:ascii="Arial" w:hAnsi="Arial" w:cs="Arial"/>
          <w:b/>
          <w:bCs/>
          <w:sz w:val="28"/>
          <w:szCs w:val="28"/>
          <w:lang w:val="de-DE"/>
        </w:rPr>
        <w:t>VELUX</w:t>
      </w:r>
      <w:r w:rsidR="00F65DA2" w:rsidRPr="003B4559">
        <w:rPr>
          <w:rFonts w:ascii="Arial" w:hAnsi="Arial" w:cs="Arial"/>
          <w:b/>
          <w:bCs/>
          <w:sz w:val="28"/>
          <w:szCs w:val="28"/>
          <w:lang w:val="de-DE"/>
        </w:rPr>
        <w:t xml:space="preserve"> und JET bauen mit </w:t>
      </w:r>
      <w:r>
        <w:rPr>
          <w:rFonts w:ascii="Arial" w:hAnsi="Arial" w:cs="Arial"/>
          <w:b/>
          <w:bCs/>
          <w:sz w:val="28"/>
          <w:szCs w:val="28"/>
          <w:lang w:val="de-DE"/>
        </w:rPr>
        <w:t>VELUX</w:t>
      </w:r>
      <w:r w:rsidR="00F65DA2" w:rsidRPr="003B4559">
        <w:rPr>
          <w:rFonts w:ascii="Arial" w:hAnsi="Arial" w:cs="Arial"/>
          <w:b/>
          <w:bCs/>
          <w:sz w:val="28"/>
          <w:szCs w:val="28"/>
          <w:lang w:val="de-DE"/>
        </w:rPr>
        <w:t xml:space="preserve"> Commercial neuen Unternehmensbereich auf</w:t>
      </w:r>
    </w:p>
    <w:p w14:paraId="699971AC" w14:textId="13F47A6E" w:rsidR="00245C53" w:rsidRPr="003B4559" w:rsidRDefault="000D2F2D" w:rsidP="003B4559">
      <w:pPr>
        <w:spacing w:line="360" w:lineRule="auto"/>
        <w:rPr>
          <w:rFonts w:ascii="Arial" w:hAnsi="Arial" w:cs="Arial"/>
          <w:b/>
          <w:bCs/>
          <w:lang w:val="de-DE"/>
        </w:rPr>
      </w:pPr>
      <w:r w:rsidRPr="003B4559">
        <w:rPr>
          <w:rFonts w:ascii="Arial" w:hAnsi="Arial" w:cs="Arial"/>
          <w:b/>
          <w:bCs/>
          <w:lang w:val="de-DE"/>
        </w:rPr>
        <w:t>Hørsholm (Dänemark)</w:t>
      </w:r>
      <w:r w:rsidR="000B646C" w:rsidRPr="003B4559">
        <w:rPr>
          <w:rFonts w:ascii="Arial" w:hAnsi="Arial" w:cs="Arial"/>
          <w:b/>
          <w:bCs/>
          <w:lang w:val="de-DE"/>
        </w:rPr>
        <w:t xml:space="preserve"> / München, Januar 2019. </w:t>
      </w:r>
      <w:r w:rsidR="006A6553" w:rsidRPr="003B4559">
        <w:rPr>
          <w:rFonts w:ascii="Arial" w:hAnsi="Arial" w:cs="Arial"/>
          <w:b/>
          <w:bCs/>
          <w:lang w:val="de-DE"/>
        </w:rPr>
        <w:t xml:space="preserve">Die </w:t>
      </w:r>
      <w:r w:rsidR="00A22AD8">
        <w:rPr>
          <w:rFonts w:ascii="Arial" w:hAnsi="Arial" w:cs="Arial"/>
          <w:b/>
          <w:bCs/>
          <w:lang w:val="de-DE"/>
        </w:rPr>
        <w:t>A</w:t>
      </w:r>
      <w:r w:rsidR="007E672A">
        <w:rPr>
          <w:rFonts w:ascii="Arial" w:hAnsi="Arial" w:cs="Arial"/>
          <w:b/>
          <w:bCs/>
          <w:lang w:val="de-DE"/>
        </w:rPr>
        <w:t>k</w:t>
      </w:r>
      <w:r w:rsidR="00A22AD8">
        <w:rPr>
          <w:rFonts w:ascii="Arial" w:hAnsi="Arial" w:cs="Arial"/>
          <w:b/>
          <w:bCs/>
          <w:lang w:val="de-DE"/>
        </w:rPr>
        <w:t>qu</w:t>
      </w:r>
      <w:r w:rsidR="00AC0366">
        <w:rPr>
          <w:rFonts w:ascii="Arial" w:hAnsi="Arial" w:cs="Arial"/>
          <w:b/>
          <w:bCs/>
          <w:lang w:val="de-DE"/>
        </w:rPr>
        <w:t>i</w:t>
      </w:r>
      <w:r w:rsidR="00A22AD8">
        <w:rPr>
          <w:rFonts w:ascii="Arial" w:hAnsi="Arial" w:cs="Arial"/>
          <w:b/>
          <w:bCs/>
          <w:lang w:val="de-DE"/>
        </w:rPr>
        <w:t>sition</w:t>
      </w:r>
      <w:r w:rsidR="00A22AD8" w:rsidRPr="003B4559">
        <w:rPr>
          <w:rFonts w:ascii="Arial" w:hAnsi="Arial" w:cs="Arial"/>
          <w:b/>
          <w:bCs/>
          <w:lang w:val="de-DE"/>
        </w:rPr>
        <w:t xml:space="preserve"> </w:t>
      </w:r>
      <w:r w:rsidR="006A6553" w:rsidRPr="003B4559">
        <w:rPr>
          <w:rFonts w:ascii="Arial" w:hAnsi="Arial" w:cs="Arial"/>
          <w:b/>
          <w:bCs/>
          <w:lang w:val="de-DE"/>
        </w:rPr>
        <w:t>der J</w:t>
      </w:r>
      <w:r w:rsidR="000B646C" w:rsidRPr="003B4559">
        <w:rPr>
          <w:rFonts w:ascii="Arial" w:hAnsi="Arial" w:cs="Arial"/>
          <w:b/>
          <w:bCs/>
          <w:lang w:val="de-DE"/>
        </w:rPr>
        <w:t>ET</w:t>
      </w:r>
      <w:r w:rsidR="006A6553" w:rsidRPr="003B4559">
        <w:rPr>
          <w:rFonts w:ascii="Arial" w:hAnsi="Arial" w:cs="Arial"/>
          <w:b/>
          <w:bCs/>
          <w:lang w:val="de-DE"/>
        </w:rPr>
        <w:t>-</w:t>
      </w:r>
      <w:r w:rsidR="005923A6" w:rsidRPr="003B4559">
        <w:rPr>
          <w:rFonts w:ascii="Arial" w:hAnsi="Arial" w:cs="Arial"/>
          <w:b/>
          <w:bCs/>
          <w:lang w:val="de-DE"/>
        </w:rPr>
        <w:t xml:space="preserve">Gruppe </w:t>
      </w:r>
      <w:r w:rsidR="006A6553" w:rsidRPr="003B4559">
        <w:rPr>
          <w:rFonts w:ascii="Arial" w:hAnsi="Arial" w:cs="Arial"/>
          <w:b/>
          <w:bCs/>
          <w:lang w:val="de-DE"/>
        </w:rPr>
        <w:t xml:space="preserve">durch </w:t>
      </w:r>
      <w:r w:rsidR="0024708C">
        <w:rPr>
          <w:rFonts w:ascii="Arial" w:hAnsi="Arial" w:cs="Arial"/>
          <w:b/>
          <w:bCs/>
          <w:lang w:val="de-DE"/>
        </w:rPr>
        <w:t>VELUX</w:t>
      </w:r>
      <w:r w:rsidR="006A6553" w:rsidRPr="003B4559">
        <w:rPr>
          <w:rFonts w:ascii="Arial" w:hAnsi="Arial" w:cs="Arial"/>
          <w:b/>
          <w:bCs/>
          <w:lang w:val="de-DE"/>
        </w:rPr>
        <w:t xml:space="preserve"> wurde am 19. November 2018 genehmigt. Seither haben die beiden Unternehmen erste Schritte für den Aufbau eines neuen Unternehmensbereichs unter dem Markennamen </w:t>
      </w:r>
      <w:r w:rsidR="0024708C">
        <w:rPr>
          <w:rFonts w:ascii="Arial" w:hAnsi="Arial" w:cs="Arial"/>
          <w:b/>
          <w:bCs/>
          <w:lang w:val="de-DE"/>
        </w:rPr>
        <w:t>VELUX</w:t>
      </w:r>
      <w:r w:rsidR="006A6553" w:rsidRPr="003B4559">
        <w:rPr>
          <w:rFonts w:ascii="Arial" w:hAnsi="Arial" w:cs="Arial"/>
          <w:b/>
          <w:bCs/>
          <w:lang w:val="de-DE"/>
        </w:rPr>
        <w:t xml:space="preserve"> ergriffen. Jetzt werden ein neues Logo und eine neue visuelle Identität vorgestellt.</w:t>
      </w:r>
    </w:p>
    <w:p w14:paraId="3EAABE08" w14:textId="1F2A6268" w:rsidR="004175FF" w:rsidRPr="003B4559" w:rsidRDefault="00FF1611" w:rsidP="009C70D3">
      <w:pPr>
        <w:tabs>
          <w:tab w:val="left" w:pos="2127"/>
        </w:tabs>
        <w:spacing w:after="120" w:line="360" w:lineRule="auto"/>
        <w:rPr>
          <w:rFonts w:ascii="Arial" w:hAnsi="Arial" w:cs="Arial"/>
          <w:lang w:val="de-DE"/>
        </w:rPr>
      </w:pPr>
      <w:r w:rsidRPr="003B4559">
        <w:rPr>
          <w:rFonts w:ascii="Arial" w:hAnsi="Arial" w:cs="Arial"/>
          <w:lang w:val="de-DE"/>
        </w:rPr>
        <w:t xml:space="preserve">Mit der </w:t>
      </w:r>
      <w:r w:rsidR="00A22AD8">
        <w:rPr>
          <w:rFonts w:ascii="Arial" w:hAnsi="Arial" w:cs="Arial"/>
          <w:lang w:val="de-DE"/>
        </w:rPr>
        <w:t>A</w:t>
      </w:r>
      <w:r w:rsidR="00AC0366">
        <w:rPr>
          <w:rFonts w:ascii="Arial" w:hAnsi="Arial" w:cs="Arial"/>
          <w:lang w:val="de-DE"/>
        </w:rPr>
        <w:t>kqui</w:t>
      </w:r>
      <w:r w:rsidR="00A22AD8">
        <w:rPr>
          <w:rFonts w:ascii="Arial" w:hAnsi="Arial" w:cs="Arial"/>
          <w:lang w:val="de-DE"/>
        </w:rPr>
        <w:t>sition</w:t>
      </w:r>
      <w:r w:rsidR="00A22AD8" w:rsidRPr="003B4559">
        <w:rPr>
          <w:rFonts w:ascii="Arial" w:hAnsi="Arial" w:cs="Arial"/>
          <w:lang w:val="de-DE"/>
        </w:rPr>
        <w:t xml:space="preserve"> </w:t>
      </w:r>
      <w:r w:rsidRPr="003B4559">
        <w:rPr>
          <w:rFonts w:ascii="Arial" w:hAnsi="Arial" w:cs="Arial"/>
          <w:lang w:val="de-DE"/>
        </w:rPr>
        <w:t>der JET-</w:t>
      </w:r>
      <w:r w:rsidR="005923A6" w:rsidRPr="003B4559">
        <w:rPr>
          <w:rFonts w:ascii="Arial" w:hAnsi="Arial" w:cs="Arial"/>
          <w:lang w:val="de-DE"/>
        </w:rPr>
        <w:t xml:space="preserve">Gruppe </w:t>
      </w:r>
      <w:r w:rsidRPr="003B4559">
        <w:rPr>
          <w:rFonts w:ascii="Arial" w:hAnsi="Arial" w:cs="Arial"/>
          <w:lang w:val="de-DE"/>
        </w:rPr>
        <w:t xml:space="preserve">ist die </w:t>
      </w:r>
      <w:r w:rsidR="0024708C">
        <w:rPr>
          <w:rFonts w:ascii="Arial" w:hAnsi="Arial" w:cs="Arial"/>
          <w:lang w:val="de-DE"/>
        </w:rPr>
        <w:t>VELUX</w:t>
      </w:r>
      <w:r w:rsidRPr="003B4559">
        <w:rPr>
          <w:rFonts w:ascii="Arial" w:hAnsi="Arial" w:cs="Arial"/>
          <w:lang w:val="de-DE"/>
        </w:rPr>
        <w:t xml:space="preserve"> Gruppe zu einem der führenden </w:t>
      </w:r>
      <w:r w:rsidR="009C70D3" w:rsidRPr="003B4559">
        <w:rPr>
          <w:rFonts w:ascii="Arial" w:hAnsi="Arial" w:cs="Arial"/>
          <w:lang w:val="de-DE"/>
        </w:rPr>
        <w:t xml:space="preserve">europäischen </w:t>
      </w:r>
      <w:r w:rsidRPr="003B4559">
        <w:rPr>
          <w:rFonts w:ascii="Arial" w:hAnsi="Arial" w:cs="Arial"/>
          <w:lang w:val="de-DE"/>
        </w:rPr>
        <w:t xml:space="preserve">Player </w:t>
      </w:r>
      <w:r w:rsidR="008A5114" w:rsidRPr="003B4559">
        <w:rPr>
          <w:rFonts w:ascii="Arial" w:hAnsi="Arial" w:cs="Arial"/>
          <w:lang w:val="de-DE"/>
        </w:rPr>
        <w:t>im gewerblichen, öffentlichen und industriellen Markt</w:t>
      </w:r>
      <w:r w:rsidRPr="003B4559">
        <w:rPr>
          <w:rFonts w:ascii="Arial" w:hAnsi="Arial" w:cs="Arial"/>
          <w:lang w:val="de-DE"/>
        </w:rPr>
        <w:t xml:space="preserve"> </w:t>
      </w:r>
      <w:r w:rsidR="008A5114" w:rsidRPr="003B4559">
        <w:rPr>
          <w:rFonts w:ascii="Arial" w:hAnsi="Arial" w:cs="Arial"/>
          <w:lang w:val="de-DE"/>
        </w:rPr>
        <w:t>für Tageslicht-</w:t>
      </w:r>
      <w:r w:rsidR="00A22AD8">
        <w:rPr>
          <w:rFonts w:ascii="Arial" w:hAnsi="Arial" w:cs="Arial"/>
          <w:lang w:val="de-DE"/>
        </w:rPr>
        <w:t>Lösungen</w:t>
      </w:r>
      <w:r w:rsidR="008A5114" w:rsidRPr="003B4559">
        <w:rPr>
          <w:rFonts w:ascii="Arial" w:hAnsi="Arial" w:cs="Arial"/>
          <w:lang w:val="de-DE"/>
        </w:rPr>
        <w:t xml:space="preserve"> im Dach </w:t>
      </w:r>
      <w:r w:rsidRPr="003B4559">
        <w:rPr>
          <w:rFonts w:ascii="Arial" w:hAnsi="Arial" w:cs="Arial"/>
          <w:lang w:val="de-DE"/>
        </w:rPr>
        <w:t xml:space="preserve">geworden. In Kombination mit den jüngsten </w:t>
      </w:r>
      <w:r w:rsidR="00A22AD8">
        <w:rPr>
          <w:rFonts w:ascii="Arial" w:hAnsi="Arial" w:cs="Arial"/>
          <w:lang w:val="de-DE"/>
        </w:rPr>
        <w:t>A</w:t>
      </w:r>
      <w:r w:rsidR="007E672A">
        <w:rPr>
          <w:rFonts w:ascii="Arial" w:hAnsi="Arial" w:cs="Arial"/>
          <w:lang w:val="de-DE"/>
        </w:rPr>
        <w:t>k</w:t>
      </w:r>
      <w:r w:rsidR="00A22AD8">
        <w:rPr>
          <w:rFonts w:ascii="Arial" w:hAnsi="Arial" w:cs="Arial"/>
          <w:lang w:val="de-DE"/>
        </w:rPr>
        <w:t>qu</w:t>
      </w:r>
      <w:r w:rsidR="007E672A">
        <w:rPr>
          <w:rFonts w:ascii="Arial" w:hAnsi="Arial" w:cs="Arial"/>
          <w:lang w:val="de-DE"/>
        </w:rPr>
        <w:t>i</w:t>
      </w:r>
      <w:r w:rsidR="00A22AD8">
        <w:rPr>
          <w:rFonts w:ascii="Arial" w:hAnsi="Arial" w:cs="Arial"/>
          <w:lang w:val="de-DE"/>
        </w:rPr>
        <w:t>sitionen</w:t>
      </w:r>
      <w:r w:rsidR="007E672A">
        <w:rPr>
          <w:rFonts w:ascii="Arial" w:hAnsi="Arial" w:cs="Arial"/>
          <w:lang w:val="de-DE"/>
        </w:rPr>
        <w:t xml:space="preserve"> </w:t>
      </w:r>
      <w:r w:rsidRPr="003B4559">
        <w:rPr>
          <w:rFonts w:ascii="Arial" w:hAnsi="Arial" w:cs="Arial"/>
          <w:lang w:val="de-DE"/>
        </w:rPr>
        <w:t xml:space="preserve">von Wasco und </w:t>
      </w:r>
      <w:proofErr w:type="spellStart"/>
      <w:r w:rsidRPr="003B4559">
        <w:rPr>
          <w:rFonts w:ascii="Arial" w:hAnsi="Arial" w:cs="Arial"/>
          <w:lang w:val="de-DE"/>
        </w:rPr>
        <w:t>Vitral</w:t>
      </w:r>
      <w:proofErr w:type="spellEnd"/>
      <w:r w:rsidRPr="003B4559">
        <w:rPr>
          <w:rFonts w:ascii="Arial" w:hAnsi="Arial" w:cs="Arial"/>
          <w:lang w:val="de-DE"/>
        </w:rPr>
        <w:t xml:space="preserve"> sowie der kontinuierlichen Weiterentwicklung der </w:t>
      </w:r>
      <w:r w:rsidR="0024708C">
        <w:rPr>
          <w:rFonts w:ascii="Arial" w:hAnsi="Arial" w:cs="Arial"/>
          <w:lang w:val="de-DE"/>
        </w:rPr>
        <w:t>VELUX</w:t>
      </w:r>
      <w:r w:rsidRPr="003B4559">
        <w:rPr>
          <w:rFonts w:ascii="Arial" w:hAnsi="Arial" w:cs="Arial"/>
          <w:lang w:val="de-DE"/>
        </w:rPr>
        <w:t xml:space="preserve"> Modular Skylights </w:t>
      </w:r>
      <w:r w:rsidR="00057795" w:rsidRPr="003B4559">
        <w:rPr>
          <w:rFonts w:ascii="Arial" w:hAnsi="Arial" w:cs="Arial"/>
          <w:lang w:val="de-DE"/>
        </w:rPr>
        <w:t xml:space="preserve">bildet </w:t>
      </w:r>
      <w:r w:rsidRPr="003B4559">
        <w:rPr>
          <w:rFonts w:ascii="Arial" w:hAnsi="Arial" w:cs="Arial"/>
          <w:lang w:val="de-DE"/>
        </w:rPr>
        <w:t xml:space="preserve">die </w:t>
      </w:r>
      <w:r w:rsidR="0024708C">
        <w:rPr>
          <w:rFonts w:ascii="Arial" w:hAnsi="Arial" w:cs="Arial"/>
          <w:lang w:val="de-DE"/>
        </w:rPr>
        <w:t>VELUX</w:t>
      </w:r>
      <w:r w:rsidRPr="003B4559">
        <w:rPr>
          <w:rFonts w:ascii="Arial" w:hAnsi="Arial" w:cs="Arial"/>
          <w:lang w:val="de-DE"/>
        </w:rPr>
        <w:t xml:space="preserve"> Gruppe nun einen neuen Unternehmensbereich, um das Geschäft </w:t>
      </w:r>
      <w:r w:rsidR="008A5114" w:rsidRPr="003B4559">
        <w:rPr>
          <w:rFonts w:ascii="Arial" w:hAnsi="Arial" w:cs="Arial"/>
          <w:lang w:val="de-DE"/>
        </w:rPr>
        <w:t>in diesem Marktsegment</w:t>
      </w:r>
      <w:r w:rsidRPr="003B4559">
        <w:rPr>
          <w:rFonts w:ascii="Arial" w:hAnsi="Arial" w:cs="Arial"/>
          <w:lang w:val="de-DE"/>
        </w:rPr>
        <w:t xml:space="preserve"> zum </w:t>
      </w:r>
      <w:r w:rsidR="00057795" w:rsidRPr="003B4559">
        <w:rPr>
          <w:rFonts w:ascii="Arial" w:hAnsi="Arial" w:cs="Arial"/>
          <w:lang w:val="de-DE"/>
        </w:rPr>
        <w:t xml:space="preserve">Vorteil </w:t>
      </w:r>
      <w:r w:rsidRPr="003B4559">
        <w:rPr>
          <w:rFonts w:ascii="Arial" w:hAnsi="Arial" w:cs="Arial"/>
          <w:lang w:val="de-DE"/>
        </w:rPr>
        <w:t xml:space="preserve">der Kunden auszubauen. </w:t>
      </w:r>
      <w:r w:rsidR="00656318" w:rsidRPr="008509EA">
        <w:rPr>
          <w:rFonts w:ascii="Arial" w:hAnsi="Arial" w:cs="Arial"/>
          <w:lang w:val="de-DE"/>
        </w:rPr>
        <w:t>Zunächst</w:t>
      </w:r>
      <w:r w:rsidR="00656318" w:rsidRPr="00656318">
        <w:rPr>
          <w:rFonts w:ascii="Arial" w:hAnsi="Arial" w:cs="Arial"/>
          <w:color w:val="FF0000"/>
          <w:lang w:val="de-DE"/>
        </w:rPr>
        <w:t xml:space="preserve"> </w:t>
      </w:r>
      <w:r w:rsidRPr="003B4559">
        <w:rPr>
          <w:rFonts w:ascii="Arial" w:hAnsi="Arial" w:cs="Arial"/>
          <w:lang w:val="de-DE"/>
        </w:rPr>
        <w:t>werden die JET-</w:t>
      </w:r>
      <w:r w:rsidR="005923A6" w:rsidRPr="003B4559">
        <w:rPr>
          <w:rFonts w:ascii="Arial" w:hAnsi="Arial" w:cs="Arial"/>
          <w:lang w:val="de-DE"/>
        </w:rPr>
        <w:t xml:space="preserve">Gruppe </w:t>
      </w:r>
      <w:r w:rsidRPr="003B4559">
        <w:rPr>
          <w:rFonts w:ascii="Arial" w:hAnsi="Arial" w:cs="Arial"/>
          <w:lang w:val="de-DE"/>
        </w:rPr>
        <w:t xml:space="preserve">und </w:t>
      </w:r>
      <w:r w:rsidR="0024708C">
        <w:rPr>
          <w:rFonts w:ascii="Arial" w:hAnsi="Arial" w:cs="Arial"/>
          <w:lang w:val="de-DE"/>
        </w:rPr>
        <w:t>VELUX</w:t>
      </w:r>
      <w:r w:rsidRPr="003B4559">
        <w:rPr>
          <w:rFonts w:ascii="Arial" w:hAnsi="Arial" w:cs="Arial"/>
          <w:lang w:val="de-DE"/>
        </w:rPr>
        <w:t xml:space="preserve"> </w:t>
      </w:r>
      <w:r w:rsidR="00D97751" w:rsidRPr="003B4559">
        <w:rPr>
          <w:rFonts w:ascii="Arial" w:hAnsi="Arial" w:cs="Arial"/>
          <w:lang w:val="de-DE"/>
        </w:rPr>
        <w:t xml:space="preserve">mit dem Bereich </w:t>
      </w:r>
      <w:r w:rsidRPr="003B4559">
        <w:rPr>
          <w:rFonts w:ascii="Arial" w:hAnsi="Arial" w:cs="Arial"/>
          <w:lang w:val="de-DE"/>
        </w:rPr>
        <w:t xml:space="preserve">Modular Skylights ihre Geschäfte </w:t>
      </w:r>
      <w:r w:rsidR="008A5114" w:rsidRPr="003B4559">
        <w:rPr>
          <w:rFonts w:ascii="Arial" w:hAnsi="Arial" w:cs="Arial"/>
          <w:lang w:val="de-DE"/>
        </w:rPr>
        <w:t xml:space="preserve">zunächst </w:t>
      </w:r>
      <w:r w:rsidRPr="003B4559">
        <w:rPr>
          <w:rFonts w:ascii="Arial" w:hAnsi="Arial" w:cs="Arial"/>
          <w:lang w:val="de-DE"/>
        </w:rPr>
        <w:t xml:space="preserve">wie gewohnt weiterführen. </w:t>
      </w:r>
    </w:p>
    <w:p w14:paraId="37491DFC" w14:textId="2405D007" w:rsidR="003B67AB" w:rsidRPr="003B4559" w:rsidRDefault="00A55277" w:rsidP="009C70D3">
      <w:pPr>
        <w:spacing w:after="120" w:line="360" w:lineRule="auto"/>
        <w:rPr>
          <w:rFonts w:ascii="Arial" w:hAnsi="Arial" w:cs="Arial"/>
          <w:lang w:val="de-DE"/>
        </w:rPr>
      </w:pPr>
      <w:r w:rsidRPr="003B4559">
        <w:rPr>
          <w:rFonts w:ascii="Arial" w:hAnsi="Arial" w:cs="Arial"/>
          <w:lang w:val="de-DE"/>
        </w:rPr>
        <w:t xml:space="preserve">Seit über 75 Jahren bildet der Wunsch, Tageslicht und Frischluft in die Häuser der Menschen zu bringen, die Geschäftsgrundlage der </w:t>
      </w:r>
      <w:r w:rsidR="0024708C">
        <w:rPr>
          <w:rFonts w:ascii="Arial" w:hAnsi="Arial" w:cs="Arial"/>
          <w:lang w:val="de-DE"/>
        </w:rPr>
        <w:t>VELUX</w:t>
      </w:r>
      <w:r w:rsidRPr="003B4559">
        <w:rPr>
          <w:rFonts w:ascii="Arial" w:hAnsi="Arial" w:cs="Arial"/>
          <w:lang w:val="de-DE"/>
        </w:rPr>
        <w:t xml:space="preserve"> Gruppe, die sich heute eine klar marktführende Position bei Dachfenstern für Wohngebäude erarbeitet hat. </w:t>
      </w:r>
      <w:r w:rsidR="009B57E1" w:rsidRPr="009B57E1">
        <w:rPr>
          <w:rFonts w:ascii="Arial" w:hAnsi="Arial" w:cs="Arial"/>
          <w:lang w:val="de-DE"/>
        </w:rPr>
        <w:t xml:space="preserve">Der erste Schritt der VELUX Gruppe in den </w:t>
      </w:r>
      <w:r w:rsidR="006674F1">
        <w:rPr>
          <w:rFonts w:ascii="Arial" w:hAnsi="Arial" w:cs="Arial"/>
          <w:lang w:val="de-DE"/>
        </w:rPr>
        <w:t>gewerblichen (</w:t>
      </w:r>
      <w:r w:rsidR="009B57E1">
        <w:rPr>
          <w:rFonts w:ascii="Arial" w:hAnsi="Arial" w:cs="Arial"/>
          <w:lang w:val="de-DE"/>
        </w:rPr>
        <w:t>Nichtwohnungs-</w:t>
      </w:r>
      <w:r w:rsidR="006674F1">
        <w:rPr>
          <w:rFonts w:ascii="Arial" w:hAnsi="Arial" w:cs="Arial"/>
          <w:lang w:val="de-DE"/>
        </w:rPr>
        <w:t>)</w:t>
      </w:r>
      <w:r w:rsidR="009B57E1" w:rsidRPr="009B57E1">
        <w:rPr>
          <w:rFonts w:ascii="Arial" w:hAnsi="Arial" w:cs="Arial"/>
          <w:lang w:val="de-DE"/>
        </w:rPr>
        <w:t xml:space="preserve">Markt war 2012 mit der Einführung von VELUX Modular Skylights, mit </w:t>
      </w:r>
      <w:r w:rsidR="009B57E1">
        <w:rPr>
          <w:rFonts w:ascii="Arial" w:hAnsi="Arial" w:cs="Arial"/>
          <w:lang w:val="de-DE"/>
        </w:rPr>
        <w:t>starken Ambitionen</w:t>
      </w:r>
      <w:r w:rsidR="009B57E1" w:rsidRPr="009B57E1">
        <w:rPr>
          <w:rFonts w:ascii="Arial" w:hAnsi="Arial" w:cs="Arial"/>
          <w:lang w:val="de-DE"/>
        </w:rPr>
        <w:t xml:space="preserve"> Tageslicht und frische Luft auch in </w:t>
      </w:r>
      <w:r w:rsidR="009B57E1">
        <w:rPr>
          <w:rFonts w:ascii="Arial" w:hAnsi="Arial" w:cs="Arial"/>
          <w:lang w:val="de-DE"/>
        </w:rPr>
        <w:t>gewerbliche Gebäude</w:t>
      </w:r>
      <w:r w:rsidR="009B57E1" w:rsidRPr="009B57E1">
        <w:rPr>
          <w:rFonts w:ascii="Arial" w:hAnsi="Arial" w:cs="Arial"/>
          <w:lang w:val="de-DE"/>
        </w:rPr>
        <w:t xml:space="preserve"> zu bringen.</w:t>
      </w:r>
    </w:p>
    <w:p w14:paraId="0B1027AA" w14:textId="12ED14F5" w:rsidR="002C06FC" w:rsidRPr="003B4559" w:rsidRDefault="00A22AD8" w:rsidP="009C70D3">
      <w:pPr>
        <w:spacing w:after="120" w:line="360" w:lineRule="auto"/>
        <w:rPr>
          <w:rFonts w:ascii="Arial" w:hAnsi="Arial" w:cs="Arial"/>
          <w:lang w:val="de-DE"/>
        </w:rPr>
      </w:pPr>
      <w:r>
        <w:rPr>
          <w:rFonts w:ascii="Arial" w:hAnsi="Arial" w:cs="Arial"/>
          <w:lang w:val="de-DE"/>
        </w:rPr>
        <w:t xml:space="preserve">Der </w:t>
      </w:r>
      <w:r w:rsidR="009B57E1">
        <w:rPr>
          <w:rFonts w:ascii="Arial" w:hAnsi="Arial" w:cs="Arial"/>
          <w:lang w:val="de-DE"/>
        </w:rPr>
        <w:t xml:space="preserve">gewerbliche, öffentliche und industrielle </w:t>
      </w:r>
      <w:r>
        <w:rPr>
          <w:rFonts w:ascii="Arial" w:hAnsi="Arial" w:cs="Arial"/>
          <w:lang w:val="de-DE"/>
        </w:rPr>
        <w:t>Markt</w:t>
      </w:r>
      <w:r w:rsidR="00873619" w:rsidRPr="003B4559">
        <w:rPr>
          <w:rFonts w:ascii="Arial" w:hAnsi="Arial" w:cs="Arial"/>
          <w:lang w:val="de-DE"/>
        </w:rPr>
        <w:t xml:space="preserve"> </w:t>
      </w:r>
      <w:r w:rsidR="002C06FC" w:rsidRPr="003B4559">
        <w:rPr>
          <w:rFonts w:ascii="Arial" w:hAnsi="Arial" w:cs="Arial"/>
          <w:lang w:val="de-DE"/>
        </w:rPr>
        <w:t>besteht aus zwei Hauptsegmenten:</w:t>
      </w:r>
    </w:p>
    <w:p w14:paraId="05CE5371" w14:textId="1EE8FD2E" w:rsidR="002C06FC" w:rsidRPr="003B4559" w:rsidRDefault="002C06FC" w:rsidP="009C70D3">
      <w:pPr>
        <w:pStyle w:val="ListParagraph"/>
        <w:numPr>
          <w:ilvl w:val="0"/>
          <w:numId w:val="2"/>
        </w:numPr>
        <w:spacing w:after="120" w:line="360" w:lineRule="auto"/>
        <w:rPr>
          <w:rFonts w:ascii="Arial" w:hAnsi="Arial" w:cs="Arial"/>
          <w:lang w:val="de-DE"/>
        </w:rPr>
      </w:pPr>
      <w:r w:rsidRPr="003B4559">
        <w:rPr>
          <w:rFonts w:ascii="Arial" w:hAnsi="Arial" w:cs="Arial"/>
          <w:lang w:val="de-DE"/>
        </w:rPr>
        <w:t>Im Segment für Architekturverglasungen liegt der Schwerpunkt auf dem Design und in diesem Bereich spielen Architekten eine wichtige Rolle bei der Auswahl von Glas- oder Acryl</w:t>
      </w:r>
      <w:r w:rsidR="007E672A">
        <w:rPr>
          <w:rFonts w:ascii="Arial" w:hAnsi="Arial" w:cs="Arial"/>
          <w:lang w:val="de-DE"/>
        </w:rPr>
        <w:t>glas</w:t>
      </w:r>
      <w:r w:rsidRPr="003B4559">
        <w:rPr>
          <w:rFonts w:ascii="Arial" w:hAnsi="Arial" w:cs="Arial"/>
          <w:lang w:val="de-DE"/>
        </w:rPr>
        <w:t>-</w:t>
      </w:r>
      <w:r w:rsidR="007E672A">
        <w:rPr>
          <w:rFonts w:ascii="Arial" w:hAnsi="Arial" w:cs="Arial"/>
          <w:lang w:val="de-DE"/>
        </w:rPr>
        <w:t>L</w:t>
      </w:r>
      <w:r w:rsidR="007E672A" w:rsidRPr="003B4559">
        <w:rPr>
          <w:rFonts w:ascii="Arial" w:hAnsi="Arial" w:cs="Arial"/>
          <w:lang w:val="de-DE"/>
        </w:rPr>
        <w:t>ösungen</w:t>
      </w:r>
      <w:r w:rsidRPr="003B4559">
        <w:rPr>
          <w:rFonts w:ascii="Arial" w:hAnsi="Arial" w:cs="Arial"/>
          <w:lang w:val="de-DE"/>
        </w:rPr>
        <w:t>.</w:t>
      </w:r>
    </w:p>
    <w:p w14:paraId="5763CFBF" w14:textId="77777777" w:rsidR="002C06FC" w:rsidRPr="003B4559" w:rsidRDefault="002C06FC" w:rsidP="009C70D3">
      <w:pPr>
        <w:pStyle w:val="ListParagraph"/>
        <w:numPr>
          <w:ilvl w:val="0"/>
          <w:numId w:val="2"/>
        </w:numPr>
        <w:spacing w:after="120" w:line="360" w:lineRule="auto"/>
        <w:rPr>
          <w:rFonts w:ascii="Arial" w:hAnsi="Arial" w:cs="Arial"/>
          <w:lang w:val="de-DE"/>
        </w:rPr>
      </w:pPr>
      <w:r w:rsidRPr="003B4559">
        <w:rPr>
          <w:rFonts w:ascii="Arial" w:hAnsi="Arial" w:cs="Arial"/>
          <w:lang w:val="de-DE"/>
        </w:rPr>
        <w:t>Das Segment für Industrie-Flachdächer besteht fast ausschließlich aus Acryl-Lösungen wie Lichtkuppeln, Lichtbändern und Rauch- bzw. Wärmeabzugsanlagen.</w:t>
      </w:r>
    </w:p>
    <w:p w14:paraId="2B25A6FB" w14:textId="2BF82425" w:rsidR="002C06FC" w:rsidRPr="003B4559" w:rsidRDefault="002C06FC" w:rsidP="009C70D3">
      <w:pPr>
        <w:spacing w:after="120" w:line="360" w:lineRule="auto"/>
        <w:rPr>
          <w:rFonts w:ascii="Arial" w:hAnsi="Arial" w:cs="Arial"/>
          <w:lang w:val="de-DE"/>
        </w:rPr>
      </w:pPr>
      <w:r w:rsidRPr="003B4559">
        <w:rPr>
          <w:rFonts w:ascii="Arial" w:hAnsi="Arial" w:cs="Arial"/>
          <w:lang w:val="de-DE"/>
        </w:rPr>
        <w:lastRenderedPageBreak/>
        <w:t xml:space="preserve">Bei den Kundengruppen und Vertriebsprozessen gibt es deutliche Unterschiede zwischen den beiden Segmenten. </w:t>
      </w:r>
      <w:r w:rsidR="0024708C">
        <w:rPr>
          <w:rFonts w:ascii="Arial" w:hAnsi="Arial" w:cs="Arial"/>
          <w:lang w:val="de-DE"/>
        </w:rPr>
        <w:t>VELUX</w:t>
      </w:r>
      <w:r w:rsidRPr="003B4559">
        <w:rPr>
          <w:rFonts w:ascii="Arial" w:hAnsi="Arial" w:cs="Arial"/>
          <w:lang w:val="de-DE"/>
        </w:rPr>
        <w:t xml:space="preserve"> ist mit den </w:t>
      </w:r>
      <w:r w:rsidR="0024708C">
        <w:rPr>
          <w:rFonts w:ascii="Arial" w:hAnsi="Arial" w:cs="Arial"/>
          <w:lang w:val="de-DE"/>
        </w:rPr>
        <w:t>VELUX</w:t>
      </w:r>
      <w:r w:rsidRPr="003B4559">
        <w:rPr>
          <w:rFonts w:ascii="Arial" w:hAnsi="Arial" w:cs="Arial"/>
          <w:lang w:val="de-DE"/>
        </w:rPr>
        <w:t xml:space="preserve"> Modular Skylights äußerst präsent im Segment für Architekturverglasungen, während JET eine führende Position im Bereich der Industrie-Flachdächer einnimmt – </w:t>
      </w:r>
      <w:r w:rsidR="00873619" w:rsidRPr="003B4559">
        <w:rPr>
          <w:rFonts w:ascii="Arial" w:hAnsi="Arial" w:cs="Arial"/>
          <w:lang w:val="de-DE"/>
        </w:rPr>
        <w:t xml:space="preserve">der neue Unternehmensbereich </w:t>
      </w:r>
      <w:r w:rsidR="0024708C">
        <w:rPr>
          <w:rFonts w:ascii="Arial" w:hAnsi="Arial" w:cs="Arial"/>
          <w:lang w:val="de-DE"/>
        </w:rPr>
        <w:t>VELUX</w:t>
      </w:r>
      <w:r w:rsidRPr="003B4559">
        <w:rPr>
          <w:rFonts w:ascii="Arial" w:hAnsi="Arial" w:cs="Arial"/>
          <w:lang w:val="de-DE"/>
        </w:rPr>
        <w:t xml:space="preserve"> Commercial wird dann beide Segmente abdecken.</w:t>
      </w:r>
    </w:p>
    <w:p w14:paraId="5E83C7CB" w14:textId="562AD58D" w:rsidR="002C06FC" w:rsidRPr="003B4559" w:rsidRDefault="009B7066" w:rsidP="009C70D3">
      <w:pPr>
        <w:tabs>
          <w:tab w:val="left" w:pos="2127"/>
        </w:tabs>
        <w:spacing w:after="120" w:line="360" w:lineRule="auto"/>
        <w:rPr>
          <w:rFonts w:ascii="Arial" w:hAnsi="Arial" w:cs="Arial"/>
          <w:lang w:val="de-DE"/>
        </w:rPr>
      </w:pPr>
      <w:r w:rsidRPr="003B4559">
        <w:rPr>
          <w:rFonts w:ascii="Arial" w:hAnsi="Arial" w:cs="Arial"/>
          <w:lang w:val="de-DE"/>
        </w:rPr>
        <w:t xml:space="preserve">„Wir freuen uns darauf, gemeinsam am Aufbau </w:t>
      </w:r>
      <w:r w:rsidR="000B208B" w:rsidRPr="003B4559">
        <w:rPr>
          <w:rFonts w:ascii="Arial" w:hAnsi="Arial" w:cs="Arial"/>
          <w:lang w:val="de-DE"/>
        </w:rPr>
        <w:t>de</w:t>
      </w:r>
      <w:r w:rsidR="000B208B">
        <w:rPr>
          <w:rFonts w:ascii="Arial" w:hAnsi="Arial" w:cs="Arial"/>
          <w:lang w:val="de-DE"/>
        </w:rPr>
        <w:t>r</w:t>
      </w:r>
      <w:r w:rsidR="000B208B" w:rsidRPr="003B4559">
        <w:rPr>
          <w:rFonts w:ascii="Arial" w:hAnsi="Arial" w:cs="Arial"/>
          <w:lang w:val="de-DE"/>
        </w:rPr>
        <w:t xml:space="preserve"> </w:t>
      </w:r>
      <w:r w:rsidRPr="003B4559">
        <w:rPr>
          <w:rFonts w:ascii="Arial" w:hAnsi="Arial" w:cs="Arial"/>
          <w:lang w:val="de-DE"/>
        </w:rPr>
        <w:t xml:space="preserve">neuen </w:t>
      </w:r>
      <w:r w:rsidR="000B208B">
        <w:rPr>
          <w:rFonts w:ascii="Arial" w:hAnsi="Arial" w:cs="Arial"/>
          <w:lang w:val="de-DE"/>
        </w:rPr>
        <w:t>Commercial Division</w:t>
      </w:r>
      <w:r w:rsidR="00873619" w:rsidRPr="003B4559">
        <w:rPr>
          <w:rFonts w:ascii="Arial" w:hAnsi="Arial" w:cs="Arial"/>
          <w:lang w:val="de-DE"/>
        </w:rPr>
        <w:t xml:space="preserve"> </w:t>
      </w:r>
      <w:r w:rsidRPr="003B4559">
        <w:rPr>
          <w:rFonts w:ascii="Arial" w:hAnsi="Arial" w:cs="Arial"/>
          <w:lang w:val="de-DE"/>
        </w:rPr>
        <w:t xml:space="preserve">unter </w:t>
      </w:r>
      <w:r w:rsidR="000B208B" w:rsidRPr="003B4559">
        <w:rPr>
          <w:rFonts w:ascii="Arial" w:hAnsi="Arial" w:cs="Arial"/>
          <w:lang w:val="de-DE"/>
        </w:rPr>
        <w:t>de</w:t>
      </w:r>
      <w:r w:rsidR="000B208B">
        <w:rPr>
          <w:rFonts w:ascii="Arial" w:hAnsi="Arial" w:cs="Arial"/>
          <w:lang w:val="de-DE"/>
        </w:rPr>
        <w:t>r</w:t>
      </w:r>
      <w:r w:rsidR="000B208B" w:rsidRPr="003B4559">
        <w:rPr>
          <w:rFonts w:ascii="Arial" w:hAnsi="Arial" w:cs="Arial"/>
          <w:lang w:val="de-DE"/>
        </w:rPr>
        <w:t xml:space="preserve"> </w:t>
      </w:r>
      <w:r w:rsidRPr="003B4559">
        <w:rPr>
          <w:rFonts w:ascii="Arial" w:hAnsi="Arial" w:cs="Arial"/>
          <w:lang w:val="de-DE"/>
        </w:rPr>
        <w:t xml:space="preserve">Marke </w:t>
      </w:r>
      <w:r w:rsidR="0024708C">
        <w:rPr>
          <w:rFonts w:ascii="Arial" w:hAnsi="Arial" w:cs="Arial"/>
          <w:lang w:val="de-DE"/>
        </w:rPr>
        <w:t>VELUX</w:t>
      </w:r>
      <w:r w:rsidRPr="003B4559">
        <w:rPr>
          <w:rFonts w:ascii="Arial" w:hAnsi="Arial" w:cs="Arial"/>
          <w:lang w:val="de-DE"/>
        </w:rPr>
        <w:t xml:space="preserve"> zu arbeiten. Wir sehen Wachstumspotenzial und Möglichkeiten, unser Geschäft zum </w:t>
      </w:r>
      <w:r w:rsidR="00D97751" w:rsidRPr="003B4559">
        <w:rPr>
          <w:rFonts w:ascii="Arial" w:hAnsi="Arial" w:cs="Arial"/>
          <w:lang w:val="de-DE"/>
        </w:rPr>
        <w:t>Vorteil</w:t>
      </w:r>
      <w:r w:rsidRPr="003B4559">
        <w:rPr>
          <w:rFonts w:ascii="Arial" w:hAnsi="Arial" w:cs="Arial"/>
          <w:lang w:val="de-DE"/>
        </w:rPr>
        <w:t xml:space="preserve"> von Kunden und Mitarbeitern zu festigen“, so Ralf Dahmer, CEO der JET-</w:t>
      </w:r>
      <w:r w:rsidR="005923A6" w:rsidRPr="003B4559">
        <w:rPr>
          <w:rFonts w:ascii="Arial" w:hAnsi="Arial" w:cs="Arial"/>
          <w:lang w:val="de-DE"/>
        </w:rPr>
        <w:t>Gruppe</w:t>
      </w:r>
      <w:r w:rsidRPr="003B4559">
        <w:rPr>
          <w:rFonts w:ascii="Arial" w:hAnsi="Arial" w:cs="Arial"/>
          <w:lang w:val="de-DE"/>
        </w:rPr>
        <w:t xml:space="preserve">. Ralf Dahmer verantwortet das </w:t>
      </w:r>
      <w:bookmarkStart w:id="0" w:name="_Hlk534627131"/>
      <w:r w:rsidRPr="003B4559">
        <w:rPr>
          <w:rFonts w:ascii="Arial" w:hAnsi="Arial" w:cs="Arial"/>
          <w:lang w:val="de-DE"/>
        </w:rPr>
        <w:t>operative Geschäft im Segment der Industrie-Flachdächer</w:t>
      </w:r>
      <w:bookmarkEnd w:id="0"/>
      <w:r w:rsidR="00E46C70" w:rsidRPr="003B4559">
        <w:rPr>
          <w:rFonts w:ascii="Arial" w:hAnsi="Arial" w:cs="Arial"/>
          <w:lang w:val="de-DE"/>
        </w:rPr>
        <w:t xml:space="preserve"> </w:t>
      </w:r>
      <w:r w:rsidRPr="003B4559">
        <w:rPr>
          <w:rFonts w:ascii="Arial" w:hAnsi="Arial" w:cs="Arial"/>
          <w:lang w:val="de-DE"/>
        </w:rPr>
        <w:t xml:space="preserve">bei </w:t>
      </w:r>
      <w:r w:rsidR="0024708C">
        <w:rPr>
          <w:rFonts w:ascii="Arial" w:hAnsi="Arial" w:cs="Arial"/>
          <w:lang w:val="de-DE"/>
        </w:rPr>
        <w:t>VELUX</w:t>
      </w:r>
      <w:r w:rsidRPr="003B4559">
        <w:rPr>
          <w:rFonts w:ascii="Arial" w:hAnsi="Arial" w:cs="Arial"/>
          <w:lang w:val="de-DE"/>
        </w:rPr>
        <w:t xml:space="preserve"> Commercial.</w:t>
      </w:r>
    </w:p>
    <w:p w14:paraId="0094A412" w14:textId="551AE3BE" w:rsidR="00C34ADD" w:rsidRPr="003B4559" w:rsidRDefault="00E4563C" w:rsidP="009C70D3">
      <w:pPr>
        <w:spacing w:after="120" w:line="360" w:lineRule="auto"/>
        <w:rPr>
          <w:rFonts w:ascii="Arial" w:hAnsi="Arial" w:cs="Arial"/>
          <w:lang w:val="de-DE"/>
        </w:rPr>
      </w:pPr>
      <w:r w:rsidRPr="003B4559">
        <w:rPr>
          <w:rFonts w:ascii="Arial" w:hAnsi="Arial" w:cs="Arial"/>
          <w:lang w:val="de-DE"/>
        </w:rPr>
        <w:t xml:space="preserve">„Unsere Strategie ist es, unser Geschäft dadurch auszubauen, dass wir </w:t>
      </w:r>
      <w:r w:rsidR="00873619" w:rsidRPr="003B4559">
        <w:rPr>
          <w:rFonts w:ascii="Arial" w:hAnsi="Arial" w:cs="Arial"/>
          <w:lang w:val="de-DE"/>
        </w:rPr>
        <w:t xml:space="preserve">auch </w:t>
      </w:r>
      <w:r w:rsidRPr="003B4559">
        <w:rPr>
          <w:rFonts w:ascii="Arial" w:hAnsi="Arial" w:cs="Arial"/>
          <w:lang w:val="de-DE"/>
        </w:rPr>
        <w:t xml:space="preserve">die Menschen in </w:t>
      </w:r>
      <w:r w:rsidR="00873619" w:rsidRPr="003B4559">
        <w:rPr>
          <w:rFonts w:ascii="Arial" w:hAnsi="Arial" w:cs="Arial"/>
          <w:lang w:val="de-DE"/>
        </w:rPr>
        <w:t xml:space="preserve">gewerblichen, öffentlichen und industriellen </w:t>
      </w:r>
      <w:r w:rsidRPr="003B4559">
        <w:rPr>
          <w:rFonts w:ascii="Arial" w:hAnsi="Arial" w:cs="Arial"/>
          <w:lang w:val="de-DE"/>
        </w:rPr>
        <w:t xml:space="preserve">Gebäuden mit Tageslicht versorgen. </w:t>
      </w:r>
      <w:r w:rsidR="000E4407" w:rsidRPr="003B4559">
        <w:rPr>
          <w:rFonts w:ascii="Arial" w:hAnsi="Arial" w:cs="Arial"/>
          <w:lang w:val="de-DE"/>
        </w:rPr>
        <w:t>Darüber hinaus gewinnen wir d</w:t>
      </w:r>
      <w:r w:rsidRPr="003B4559">
        <w:rPr>
          <w:rFonts w:ascii="Arial" w:hAnsi="Arial" w:cs="Arial"/>
          <w:lang w:val="de-DE"/>
        </w:rPr>
        <w:t xml:space="preserve">urch die Bündelung unserer Kräfte mit JET </w:t>
      </w:r>
      <w:r w:rsidR="000E4407" w:rsidRPr="003B4559">
        <w:rPr>
          <w:rFonts w:ascii="Arial" w:hAnsi="Arial" w:cs="Arial"/>
          <w:lang w:val="de-DE"/>
        </w:rPr>
        <w:t xml:space="preserve">an Größe </w:t>
      </w:r>
      <w:r w:rsidRPr="003B4559">
        <w:rPr>
          <w:rFonts w:ascii="Arial" w:hAnsi="Arial" w:cs="Arial"/>
          <w:lang w:val="de-DE"/>
        </w:rPr>
        <w:t>und erweiter</w:t>
      </w:r>
      <w:r w:rsidR="000E4407" w:rsidRPr="003B4559">
        <w:rPr>
          <w:rFonts w:ascii="Arial" w:hAnsi="Arial" w:cs="Arial"/>
          <w:lang w:val="de-DE"/>
        </w:rPr>
        <w:t>n</w:t>
      </w:r>
      <w:r w:rsidRPr="003B4559">
        <w:rPr>
          <w:rFonts w:ascii="Arial" w:hAnsi="Arial" w:cs="Arial"/>
          <w:lang w:val="de-DE"/>
        </w:rPr>
        <w:t xml:space="preserve"> </w:t>
      </w:r>
      <w:r w:rsidR="000E4407" w:rsidRPr="003B4559">
        <w:rPr>
          <w:rFonts w:ascii="Arial" w:hAnsi="Arial" w:cs="Arial"/>
          <w:lang w:val="de-DE"/>
        </w:rPr>
        <w:t xml:space="preserve">unsere </w:t>
      </w:r>
      <w:r w:rsidRPr="003B4559">
        <w:rPr>
          <w:rFonts w:ascii="Arial" w:hAnsi="Arial" w:cs="Arial"/>
          <w:lang w:val="de-DE"/>
        </w:rPr>
        <w:t>Tätigkeit auf ein komplett neues Segment. Die Produkte und Vertriebsprozesse i</w:t>
      </w:r>
      <w:r w:rsidR="000E4407" w:rsidRPr="003B4559">
        <w:rPr>
          <w:rFonts w:ascii="Arial" w:hAnsi="Arial" w:cs="Arial"/>
          <w:lang w:val="de-DE"/>
        </w:rPr>
        <w:t>n diesem</w:t>
      </w:r>
      <w:r w:rsidRPr="003B4559">
        <w:rPr>
          <w:rFonts w:ascii="Arial" w:hAnsi="Arial" w:cs="Arial"/>
          <w:lang w:val="de-DE"/>
        </w:rPr>
        <w:t xml:space="preserve"> </w:t>
      </w:r>
      <w:r w:rsidR="007E672A">
        <w:rPr>
          <w:rFonts w:ascii="Arial" w:hAnsi="Arial" w:cs="Arial"/>
          <w:lang w:val="de-DE"/>
        </w:rPr>
        <w:t>gewerblichen</w:t>
      </w:r>
      <w:r w:rsidR="000E4407" w:rsidRPr="003B4559">
        <w:rPr>
          <w:rFonts w:ascii="Arial" w:hAnsi="Arial" w:cs="Arial"/>
          <w:lang w:val="de-DE"/>
        </w:rPr>
        <w:t xml:space="preserve"> M</w:t>
      </w:r>
      <w:r w:rsidRPr="003B4559">
        <w:rPr>
          <w:rFonts w:ascii="Arial" w:hAnsi="Arial" w:cs="Arial"/>
          <w:lang w:val="de-DE"/>
        </w:rPr>
        <w:t xml:space="preserve">arkt unterscheiden sich deutlich von denjenigen im </w:t>
      </w:r>
      <w:r w:rsidR="007E672A">
        <w:rPr>
          <w:rFonts w:ascii="Arial" w:hAnsi="Arial" w:cs="Arial"/>
          <w:lang w:val="de-DE"/>
        </w:rPr>
        <w:t xml:space="preserve">privaten </w:t>
      </w:r>
      <w:r w:rsidRPr="003B4559">
        <w:rPr>
          <w:rFonts w:ascii="Arial" w:hAnsi="Arial" w:cs="Arial"/>
          <w:lang w:val="de-DE"/>
        </w:rPr>
        <w:t>Wohn</w:t>
      </w:r>
      <w:r w:rsidR="007E672A">
        <w:rPr>
          <w:rFonts w:ascii="Arial" w:hAnsi="Arial" w:cs="Arial"/>
          <w:lang w:val="de-DE"/>
        </w:rPr>
        <w:t>ungsbau</w:t>
      </w:r>
      <w:r w:rsidR="000E4407" w:rsidRPr="003B4559">
        <w:rPr>
          <w:rFonts w:ascii="Arial" w:hAnsi="Arial" w:cs="Arial"/>
          <w:lang w:val="de-DE"/>
        </w:rPr>
        <w:t>. U</w:t>
      </w:r>
      <w:r w:rsidRPr="003B4559">
        <w:rPr>
          <w:rFonts w:ascii="Arial" w:hAnsi="Arial" w:cs="Arial"/>
          <w:lang w:val="de-DE"/>
        </w:rPr>
        <w:t xml:space="preserve">m diese spezifischen Anforderungen des </w:t>
      </w:r>
      <w:r w:rsidR="000E4407" w:rsidRPr="003B4559">
        <w:rPr>
          <w:rFonts w:ascii="Arial" w:hAnsi="Arial" w:cs="Arial"/>
          <w:lang w:val="de-DE"/>
        </w:rPr>
        <w:t>M</w:t>
      </w:r>
      <w:r w:rsidRPr="003B4559">
        <w:rPr>
          <w:rFonts w:ascii="Arial" w:hAnsi="Arial" w:cs="Arial"/>
          <w:lang w:val="de-DE"/>
        </w:rPr>
        <w:t xml:space="preserve">arkts </w:t>
      </w:r>
      <w:r w:rsidR="000E4407" w:rsidRPr="003B4559">
        <w:rPr>
          <w:rFonts w:ascii="Arial" w:hAnsi="Arial" w:cs="Arial"/>
          <w:lang w:val="de-DE"/>
        </w:rPr>
        <w:t xml:space="preserve">für gewerbliche, öffentliche und industrielle Gebäude </w:t>
      </w:r>
      <w:r w:rsidRPr="003B4559">
        <w:rPr>
          <w:rFonts w:ascii="Arial" w:hAnsi="Arial" w:cs="Arial"/>
          <w:lang w:val="de-DE"/>
        </w:rPr>
        <w:t xml:space="preserve">zu erfüllen, bauen wir jetzt mit </w:t>
      </w:r>
      <w:r w:rsidR="0024708C">
        <w:rPr>
          <w:rFonts w:ascii="Arial" w:hAnsi="Arial" w:cs="Arial"/>
          <w:lang w:val="de-DE"/>
        </w:rPr>
        <w:t>VELUX</w:t>
      </w:r>
      <w:r w:rsidRPr="003B4559">
        <w:rPr>
          <w:rFonts w:ascii="Arial" w:hAnsi="Arial" w:cs="Arial"/>
          <w:lang w:val="de-DE"/>
        </w:rPr>
        <w:t xml:space="preserve"> Commercial einen neuen Unternehmensbereich auf“, erläutert Henrik Øvlisen, </w:t>
      </w:r>
      <w:proofErr w:type="spellStart"/>
      <w:r w:rsidRPr="003B4559">
        <w:rPr>
          <w:rFonts w:ascii="Arial" w:hAnsi="Arial" w:cs="Arial"/>
          <w:lang w:val="de-DE"/>
        </w:rPr>
        <w:t>V</w:t>
      </w:r>
      <w:r w:rsidR="000E4407" w:rsidRPr="003B4559">
        <w:rPr>
          <w:rFonts w:ascii="Arial" w:hAnsi="Arial" w:cs="Arial"/>
          <w:lang w:val="de-DE"/>
        </w:rPr>
        <w:t>ice</w:t>
      </w:r>
      <w:proofErr w:type="spellEnd"/>
      <w:r w:rsidR="000E4407" w:rsidRPr="003B4559">
        <w:rPr>
          <w:rFonts w:ascii="Arial" w:hAnsi="Arial" w:cs="Arial"/>
          <w:lang w:val="de-DE"/>
        </w:rPr>
        <w:t xml:space="preserve"> </w:t>
      </w:r>
      <w:proofErr w:type="spellStart"/>
      <w:r w:rsidRPr="003B4559">
        <w:rPr>
          <w:rFonts w:ascii="Arial" w:hAnsi="Arial" w:cs="Arial"/>
          <w:lang w:val="de-DE"/>
        </w:rPr>
        <w:t>P</w:t>
      </w:r>
      <w:r w:rsidR="000E4407" w:rsidRPr="003B4559">
        <w:rPr>
          <w:rFonts w:ascii="Arial" w:hAnsi="Arial" w:cs="Arial"/>
          <w:lang w:val="de-DE"/>
        </w:rPr>
        <w:t>resident</w:t>
      </w:r>
      <w:proofErr w:type="spellEnd"/>
      <w:r w:rsidRPr="003B4559">
        <w:rPr>
          <w:rFonts w:ascii="Arial" w:hAnsi="Arial" w:cs="Arial"/>
          <w:lang w:val="de-DE"/>
        </w:rPr>
        <w:t xml:space="preserve"> von </w:t>
      </w:r>
      <w:r w:rsidR="0024708C">
        <w:rPr>
          <w:rFonts w:ascii="Arial" w:hAnsi="Arial" w:cs="Arial"/>
          <w:lang w:val="de-DE"/>
        </w:rPr>
        <w:t>VELUX</w:t>
      </w:r>
      <w:r w:rsidRPr="003B4559">
        <w:rPr>
          <w:rFonts w:ascii="Arial" w:hAnsi="Arial" w:cs="Arial"/>
          <w:lang w:val="de-DE"/>
        </w:rPr>
        <w:t xml:space="preserve"> Modular Skylights, der bei </w:t>
      </w:r>
      <w:r w:rsidR="0024708C">
        <w:rPr>
          <w:rFonts w:ascii="Arial" w:hAnsi="Arial" w:cs="Arial"/>
          <w:lang w:val="de-DE"/>
        </w:rPr>
        <w:t>VELUX</w:t>
      </w:r>
      <w:r w:rsidRPr="003B4559">
        <w:rPr>
          <w:rFonts w:ascii="Arial" w:hAnsi="Arial" w:cs="Arial"/>
          <w:lang w:val="de-DE"/>
        </w:rPr>
        <w:t xml:space="preserve"> Commercial das </w:t>
      </w:r>
      <w:bookmarkStart w:id="1" w:name="_Hlk534627165"/>
      <w:r w:rsidRPr="003B4559">
        <w:rPr>
          <w:rFonts w:ascii="Arial" w:hAnsi="Arial" w:cs="Arial"/>
          <w:lang w:val="de-DE"/>
        </w:rPr>
        <w:t>operative Geschäft im Segment der Architekturverglasungen leiten wird.</w:t>
      </w:r>
      <w:bookmarkEnd w:id="1"/>
    </w:p>
    <w:p w14:paraId="46A65C39" w14:textId="61833442" w:rsidR="003332CB" w:rsidRPr="003B4559" w:rsidRDefault="00A66F4C" w:rsidP="009C70D3">
      <w:pPr>
        <w:spacing w:after="120" w:line="360" w:lineRule="auto"/>
        <w:rPr>
          <w:rFonts w:ascii="Arial" w:hAnsi="Arial" w:cs="Arial"/>
          <w:lang w:val="de-DE"/>
        </w:rPr>
      </w:pPr>
      <w:r w:rsidRPr="003B4559">
        <w:rPr>
          <w:rFonts w:ascii="Arial" w:hAnsi="Arial" w:cs="Arial"/>
          <w:lang w:val="de-DE"/>
        </w:rPr>
        <w:t xml:space="preserve">Um das Produktangebot für den </w:t>
      </w:r>
      <w:r w:rsidR="000E4407" w:rsidRPr="003B4559">
        <w:rPr>
          <w:rFonts w:ascii="Arial" w:hAnsi="Arial" w:cs="Arial"/>
          <w:lang w:val="de-DE"/>
        </w:rPr>
        <w:t>gewerblichen, öffentlichen und industriellen</w:t>
      </w:r>
      <w:r w:rsidRPr="003B4559">
        <w:rPr>
          <w:rFonts w:ascii="Arial" w:hAnsi="Arial" w:cs="Arial"/>
          <w:lang w:val="de-DE"/>
        </w:rPr>
        <w:t xml:space="preserve"> </w:t>
      </w:r>
      <w:r w:rsidR="000E4407" w:rsidRPr="003B4559">
        <w:rPr>
          <w:rFonts w:ascii="Arial" w:hAnsi="Arial" w:cs="Arial"/>
          <w:lang w:val="de-DE"/>
        </w:rPr>
        <w:t xml:space="preserve">Markt </w:t>
      </w:r>
      <w:r w:rsidRPr="003B4559">
        <w:rPr>
          <w:rFonts w:ascii="Arial" w:hAnsi="Arial" w:cs="Arial"/>
          <w:lang w:val="de-DE"/>
        </w:rPr>
        <w:t xml:space="preserve">optisch von den bekannten </w:t>
      </w:r>
      <w:r w:rsidR="0024708C">
        <w:rPr>
          <w:rFonts w:ascii="Arial" w:hAnsi="Arial" w:cs="Arial"/>
          <w:lang w:val="de-DE"/>
        </w:rPr>
        <w:t>VELUX</w:t>
      </w:r>
      <w:r w:rsidRPr="003B4559">
        <w:rPr>
          <w:rFonts w:ascii="Arial" w:hAnsi="Arial" w:cs="Arial"/>
          <w:lang w:val="de-DE"/>
        </w:rPr>
        <w:t xml:space="preserve"> Dachfenstern zu unterscheiden und einen neuen visuellen Rahmen für den Aufbau des neuen Unternehmensbereichs zu schaffen, präsentiert die </w:t>
      </w:r>
      <w:r w:rsidR="0024708C">
        <w:rPr>
          <w:rFonts w:ascii="Arial" w:hAnsi="Arial" w:cs="Arial"/>
          <w:lang w:val="de-DE"/>
        </w:rPr>
        <w:t>VELUX</w:t>
      </w:r>
      <w:r w:rsidRPr="003B4559">
        <w:rPr>
          <w:rFonts w:ascii="Arial" w:hAnsi="Arial" w:cs="Arial"/>
          <w:lang w:val="de-DE"/>
        </w:rPr>
        <w:t xml:space="preserve"> Gruppe ein neues </w:t>
      </w:r>
      <w:r w:rsidR="0024708C">
        <w:rPr>
          <w:rFonts w:ascii="Arial" w:hAnsi="Arial" w:cs="Arial"/>
          <w:lang w:val="de-DE"/>
        </w:rPr>
        <w:t>VELUX</w:t>
      </w:r>
      <w:r w:rsidRPr="003B4559">
        <w:rPr>
          <w:rFonts w:ascii="Arial" w:hAnsi="Arial" w:cs="Arial"/>
          <w:lang w:val="de-DE"/>
        </w:rPr>
        <w:t xml:space="preserve"> </w:t>
      </w:r>
      <w:r w:rsidR="00E1777F" w:rsidRPr="003B4559">
        <w:rPr>
          <w:rFonts w:ascii="Arial" w:hAnsi="Arial" w:cs="Arial"/>
          <w:lang w:val="de-DE"/>
        </w:rPr>
        <w:t xml:space="preserve">Commercial Logo </w:t>
      </w:r>
      <w:r w:rsidRPr="003B4559">
        <w:rPr>
          <w:rFonts w:ascii="Arial" w:hAnsi="Arial" w:cs="Arial"/>
          <w:lang w:val="de-DE"/>
        </w:rPr>
        <w:t xml:space="preserve">und eine neue visuelle Identität. Das Logo und die visuelle Identität von </w:t>
      </w:r>
      <w:r w:rsidR="0024708C">
        <w:rPr>
          <w:rFonts w:ascii="Arial" w:hAnsi="Arial" w:cs="Arial"/>
          <w:lang w:val="de-DE"/>
        </w:rPr>
        <w:t>VELUX</w:t>
      </w:r>
      <w:r w:rsidRPr="003B4559">
        <w:rPr>
          <w:rFonts w:ascii="Arial" w:hAnsi="Arial" w:cs="Arial"/>
          <w:lang w:val="de-DE"/>
        </w:rPr>
        <w:t xml:space="preserve"> Commercial werden der Öffentlichkeit zum ersten Mal am </w:t>
      </w:r>
      <w:r w:rsidR="000B646C" w:rsidRPr="003B4559">
        <w:rPr>
          <w:rFonts w:ascii="Arial" w:hAnsi="Arial" w:cs="Arial"/>
          <w:lang w:val="de-DE"/>
        </w:rPr>
        <w:t>V</w:t>
      </w:r>
      <w:r w:rsidR="00DE5437">
        <w:rPr>
          <w:rFonts w:ascii="Arial" w:hAnsi="Arial" w:cs="Arial"/>
          <w:lang w:val="de-DE"/>
        </w:rPr>
        <w:t>ELUX</w:t>
      </w:r>
      <w:r w:rsidRPr="003B4559">
        <w:rPr>
          <w:rFonts w:ascii="Arial" w:hAnsi="Arial" w:cs="Arial"/>
          <w:lang w:val="de-DE"/>
        </w:rPr>
        <w:t xml:space="preserve"> </w:t>
      </w:r>
      <w:r w:rsidR="00656318" w:rsidRPr="008509EA">
        <w:rPr>
          <w:rFonts w:ascii="Arial" w:hAnsi="Arial" w:cs="Arial"/>
          <w:lang w:val="de-DE"/>
        </w:rPr>
        <w:t xml:space="preserve">und JET </w:t>
      </w:r>
      <w:r w:rsidRPr="008509EA">
        <w:rPr>
          <w:rFonts w:ascii="Arial" w:hAnsi="Arial" w:cs="Arial"/>
          <w:lang w:val="de-DE"/>
        </w:rPr>
        <w:t xml:space="preserve">Stand </w:t>
      </w:r>
      <w:r w:rsidR="00BD072F" w:rsidRPr="003B4559">
        <w:rPr>
          <w:rFonts w:ascii="Arial" w:hAnsi="Arial" w:cs="Arial"/>
          <w:lang w:val="de-DE"/>
        </w:rPr>
        <w:t xml:space="preserve">auf </w:t>
      </w:r>
      <w:r w:rsidRPr="003B4559">
        <w:rPr>
          <w:rFonts w:ascii="Arial" w:hAnsi="Arial" w:cs="Arial"/>
          <w:lang w:val="de-DE"/>
        </w:rPr>
        <w:t xml:space="preserve">der </w:t>
      </w:r>
      <w:r w:rsidR="00BD072F" w:rsidRPr="003B4559">
        <w:rPr>
          <w:rFonts w:ascii="Arial" w:hAnsi="Arial" w:cs="Arial"/>
          <w:lang w:val="de-DE"/>
        </w:rPr>
        <w:t xml:space="preserve">Messe </w:t>
      </w:r>
      <w:r w:rsidRPr="003B4559">
        <w:rPr>
          <w:rFonts w:ascii="Arial" w:hAnsi="Arial" w:cs="Arial"/>
          <w:lang w:val="de-DE"/>
        </w:rPr>
        <w:t xml:space="preserve">BAU </w:t>
      </w:r>
      <w:r w:rsidR="00BD072F" w:rsidRPr="003B4559">
        <w:rPr>
          <w:rFonts w:ascii="Arial" w:hAnsi="Arial" w:cs="Arial"/>
          <w:lang w:val="de-DE"/>
        </w:rPr>
        <w:t xml:space="preserve">in München </w:t>
      </w:r>
      <w:r w:rsidRPr="003B4559">
        <w:rPr>
          <w:rFonts w:ascii="Arial" w:hAnsi="Arial" w:cs="Arial"/>
          <w:lang w:val="de-DE"/>
        </w:rPr>
        <w:t xml:space="preserve">vorgestellt. In den Folgemonaten wird </w:t>
      </w:r>
      <w:r w:rsidR="00E1777F" w:rsidRPr="003B4559">
        <w:rPr>
          <w:rFonts w:ascii="Arial" w:hAnsi="Arial" w:cs="Arial"/>
          <w:lang w:val="de-DE"/>
        </w:rPr>
        <w:t>deren</w:t>
      </w:r>
      <w:r w:rsidRPr="003B4559">
        <w:rPr>
          <w:rFonts w:ascii="Arial" w:hAnsi="Arial" w:cs="Arial"/>
          <w:lang w:val="de-DE"/>
        </w:rPr>
        <w:t xml:space="preserve"> Einführung in fast ganz Europa </w:t>
      </w:r>
      <w:r w:rsidR="000D2F2D" w:rsidRPr="003B4559">
        <w:rPr>
          <w:rFonts w:ascii="Arial" w:hAnsi="Arial" w:cs="Arial"/>
          <w:lang w:val="de-DE"/>
        </w:rPr>
        <w:t xml:space="preserve">dann </w:t>
      </w:r>
      <w:r w:rsidRPr="003B4559">
        <w:rPr>
          <w:rFonts w:ascii="Arial" w:hAnsi="Arial" w:cs="Arial"/>
          <w:lang w:val="de-DE"/>
        </w:rPr>
        <w:t xml:space="preserve">ein erstes visuelles Signal an den Markt sein, dass </w:t>
      </w:r>
      <w:r w:rsidR="000B646C" w:rsidRPr="003B4559">
        <w:rPr>
          <w:rFonts w:ascii="Arial" w:hAnsi="Arial" w:cs="Arial"/>
          <w:lang w:val="de-DE"/>
        </w:rPr>
        <w:t>V</w:t>
      </w:r>
      <w:r w:rsidR="00DE5437">
        <w:rPr>
          <w:rFonts w:ascii="Arial" w:hAnsi="Arial" w:cs="Arial"/>
          <w:lang w:val="de-DE"/>
        </w:rPr>
        <w:t>ELUX</w:t>
      </w:r>
      <w:r w:rsidRPr="003B4559">
        <w:rPr>
          <w:rFonts w:ascii="Arial" w:hAnsi="Arial" w:cs="Arial"/>
          <w:lang w:val="de-DE"/>
        </w:rPr>
        <w:t xml:space="preserve"> gemeinsam mit JET etwas ganz Neues aufbaut. </w:t>
      </w:r>
    </w:p>
    <w:p w14:paraId="772CBEB6" w14:textId="77777777" w:rsidR="009C70D3" w:rsidRPr="003B4559" w:rsidRDefault="009C70D3">
      <w:pPr>
        <w:rPr>
          <w:rFonts w:ascii="Arial" w:hAnsi="Arial" w:cs="Arial"/>
          <w:lang w:val="de-DE"/>
        </w:rPr>
      </w:pPr>
      <w:r w:rsidRPr="003B4559">
        <w:rPr>
          <w:rFonts w:ascii="Arial" w:hAnsi="Arial" w:cs="Arial"/>
          <w:lang w:val="de-DE"/>
        </w:rPr>
        <w:br w:type="page"/>
      </w:r>
    </w:p>
    <w:p w14:paraId="1715A2E2" w14:textId="4D35D59C" w:rsidR="003332CB" w:rsidRPr="003B4559" w:rsidRDefault="003332CB" w:rsidP="00E11F5E">
      <w:pPr>
        <w:pBdr>
          <w:top w:val="single" w:sz="4" w:space="1" w:color="auto"/>
          <w:left w:val="single" w:sz="4" w:space="4" w:color="auto"/>
          <w:bottom w:val="single" w:sz="4" w:space="1" w:color="auto"/>
          <w:right w:val="single" w:sz="4" w:space="4" w:color="auto"/>
        </w:pBdr>
        <w:ind w:left="284" w:right="282"/>
        <w:rPr>
          <w:rFonts w:ascii="Arial" w:hAnsi="Arial" w:cs="Arial"/>
          <w:b/>
          <w:lang w:val="de-DE"/>
        </w:rPr>
      </w:pPr>
      <w:r w:rsidRPr="003B4559">
        <w:rPr>
          <w:rFonts w:ascii="Arial" w:hAnsi="Arial" w:cs="Arial"/>
          <w:b/>
          <w:bCs/>
          <w:lang w:val="de-DE"/>
        </w:rPr>
        <w:lastRenderedPageBreak/>
        <w:t xml:space="preserve">Über das </w:t>
      </w:r>
      <w:r w:rsidR="00A22AD8">
        <w:rPr>
          <w:rFonts w:ascii="Arial" w:hAnsi="Arial" w:cs="Arial"/>
          <w:b/>
          <w:bCs/>
          <w:lang w:val="de-DE"/>
        </w:rPr>
        <w:t>VELUX</w:t>
      </w:r>
      <w:r w:rsidRPr="003B4559">
        <w:rPr>
          <w:rFonts w:ascii="Arial" w:hAnsi="Arial" w:cs="Arial"/>
          <w:b/>
          <w:bCs/>
          <w:lang w:val="de-DE"/>
        </w:rPr>
        <w:t xml:space="preserve"> Commercial Logo und die visuelle Identität</w:t>
      </w:r>
    </w:p>
    <w:p w14:paraId="7F7E6896" w14:textId="527300F8" w:rsidR="003332CB" w:rsidRPr="003B4559" w:rsidRDefault="003332CB" w:rsidP="00E11F5E">
      <w:pPr>
        <w:pBdr>
          <w:top w:val="single" w:sz="4" w:space="1" w:color="auto"/>
          <w:left w:val="single" w:sz="4" w:space="4" w:color="auto"/>
          <w:bottom w:val="single" w:sz="4" w:space="1" w:color="auto"/>
          <w:right w:val="single" w:sz="4" w:space="4" w:color="auto"/>
        </w:pBdr>
        <w:ind w:left="284" w:right="282"/>
        <w:rPr>
          <w:rFonts w:ascii="Arial" w:hAnsi="Arial" w:cs="Arial"/>
          <w:lang w:val="de-DE"/>
        </w:rPr>
      </w:pPr>
      <w:r w:rsidRPr="003B4559">
        <w:rPr>
          <w:rFonts w:ascii="Arial" w:hAnsi="Arial" w:cs="Arial"/>
          <w:lang w:val="de-DE"/>
        </w:rPr>
        <w:t xml:space="preserve">Das </w:t>
      </w:r>
      <w:r w:rsidR="00A22AD8">
        <w:rPr>
          <w:rFonts w:ascii="Arial" w:hAnsi="Arial" w:cs="Arial"/>
          <w:lang w:val="de-DE"/>
        </w:rPr>
        <w:t>VELUX</w:t>
      </w:r>
      <w:r w:rsidRPr="003B4559">
        <w:rPr>
          <w:rFonts w:ascii="Arial" w:hAnsi="Arial" w:cs="Arial"/>
          <w:lang w:val="de-DE"/>
        </w:rPr>
        <w:t xml:space="preserve"> Commercial Logo und die visuelle Identität werden innerhalb der bereits existierenden Farbpalette der </w:t>
      </w:r>
      <w:r w:rsidR="00A22AD8">
        <w:rPr>
          <w:rFonts w:ascii="Arial" w:hAnsi="Arial" w:cs="Arial"/>
          <w:lang w:val="de-DE"/>
        </w:rPr>
        <w:t>VELUX</w:t>
      </w:r>
      <w:r w:rsidRPr="003B4559">
        <w:rPr>
          <w:rFonts w:ascii="Arial" w:hAnsi="Arial" w:cs="Arial"/>
          <w:lang w:val="de-DE"/>
        </w:rPr>
        <w:t xml:space="preserve"> </w:t>
      </w:r>
      <w:r w:rsidR="00E1777F" w:rsidRPr="003B4559">
        <w:rPr>
          <w:rFonts w:ascii="Arial" w:hAnsi="Arial" w:cs="Arial"/>
          <w:lang w:val="de-DE"/>
        </w:rPr>
        <w:t>Co</w:t>
      </w:r>
      <w:r w:rsidR="001C29CC" w:rsidRPr="003B4559">
        <w:rPr>
          <w:rFonts w:ascii="Arial" w:hAnsi="Arial" w:cs="Arial"/>
          <w:lang w:val="de-DE"/>
        </w:rPr>
        <w:t>r</w:t>
      </w:r>
      <w:r w:rsidR="00E1777F" w:rsidRPr="003B4559">
        <w:rPr>
          <w:rFonts w:ascii="Arial" w:hAnsi="Arial" w:cs="Arial"/>
          <w:lang w:val="de-DE"/>
        </w:rPr>
        <w:t xml:space="preserve">porate Identity </w:t>
      </w:r>
      <w:r w:rsidRPr="003B4559">
        <w:rPr>
          <w:rFonts w:ascii="Arial" w:hAnsi="Arial" w:cs="Arial"/>
          <w:lang w:val="de-DE"/>
        </w:rPr>
        <w:t>entwickelt.</w:t>
      </w:r>
      <w:r w:rsidR="00E1777F" w:rsidRPr="003B4559">
        <w:rPr>
          <w:rFonts w:ascii="Arial" w:hAnsi="Arial" w:cs="Arial"/>
          <w:lang w:val="de-DE"/>
        </w:rPr>
        <w:t xml:space="preserve"> </w:t>
      </w:r>
      <w:r w:rsidRPr="003B4559">
        <w:rPr>
          <w:rFonts w:ascii="Arial" w:hAnsi="Arial" w:cs="Arial"/>
          <w:lang w:val="de-DE"/>
        </w:rPr>
        <w:t xml:space="preserve">Das neue Logo betont, dass es sich hierbei um einen untergeordneten Unternehmensbereich der Marke </w:t>
      </w:r>
      <w:r w:rsidR="00A22AD8">
        <w:rPr>
          <w:rFonts w:ascii="Arial" w:hAnsi="Arial" w:cs="Arial"/>
          <w:lang w:val="de-DE"/>
        </w:rPr>
        <w:t>VELUX</w:t>
      </w:r>
      <w:r w:rsidRPr="003B4559">
        <w:rPr>
          <w:rFonts w:ascii="Arial" w:hAnsi="Arial" w:cs="Arial"/>
          <w:lang w:val="de-DE"/>
        </w:rPr>
        <w:t xml:space="preserve"> handelt, indem die gleiche Form und die rote Farbe des </w:t>
      </w:r>
      <w:r w:rsidR="00A22AD8">
        <w:rPr>
          <w:rFonts w:ascii="Arial" w:hAnsi="Arial" w:cs="Arial"/>
          <w:lang w:val="de-DE"/>
        </w:rPr>
        <w:t>VELUX</w:t>
      </w:r>
      <w:r w:rsidRPr="003B4559">
        <w:rPr>
          <w:rFonts w:ascii="Arial" w:hAnsi="Arial" w:cs="Arial"/>
          <w:lang w:val="de-DE"/>
        </w:rPr>
        <w:t xml:space="preserve"> Logos verwendet werden. Die schwarze Farbe unterstreicht die Annäherung an den </w:t>
      </w:r>
      <w:r w:rsidR="00BD072F" w:rsidRPr="003B4559">
        <w:rPr>
          <w:rFonts w:ascii="Arial" w:hAnsi="Arial" w:cs="Arial"/>
          <w:lang w:val="de-DE"/>
        </w:rPr>
        <w:t>gewerblichen, öffentlichen und industriellen Markt für Tageslicht-</w:t>
      </w:r>
      <w:r w:rsidR="007E672A">
        <w:rPr>
          <w:rFonts w:ascii="Arial" w:hAnsi="Arial" w:cs="Arial"/>
          <w:lang w:val="de-DE"/>
        </w:rPr>
        <w:t>Lösungen</w:t>
      </w:r>
      <w:r w:rsidR="00BD072F" w:rsidRPr="003B4559">
        <w:rPr>
          <w:rFonts w:ascii="Arial" w:hAnsi="Arial" w:cs="Arial"/>
          <w:lang w:val="de-DE"/>
        </w:rPr>
        <w:t xml:space="preserve"> im Dach</w:t>
      </w:r>
      <w:r w:rsidRPr="003B4559">
        <w:rPr>
          <w:rFonts w:ascii="Arial" w:hAnsi="Arial" w:cs="Arial"/>
          <w:lang w:val="de-DE"/>
        </w:rPr>
        <w:t xml:space="preserve">, um die Zielgruppe in ihrem Bereich </w:t>
      </w:r>
      <w:r w:rsidR="00BD072F" w:rsidRPr="003B4559">
        <w:rPr>
          <w:rFonts w:ascii="Arial" w:hAnsi="Arial" w:cs="Arial"/>
          <w:lang w:val="de-DE"/>
        </w:rPr>
        <w:t xml:space="preserve">so besser </w:t>
      </w:r>
      <w:r w:rsidRPr="003B4559">
        <w:rPr>
          <w:rFonts w:ascii="Arial" w:hAnsi="Arial" w:cs="Arial"/>
          <w:lang w:val="de-DE"/>
        </w:rPr>
        <w:t xml:space="preserve">zu erreichen. Die Farbpalette der visuellen Identität bevorzugt Anthrazitgrau als primäre Farbe und durch das Hinzufügen neuer Blautöne, die sich auf die </w:t>
      </w:r>
      <w:r w:rsidR="00BD072F" w:rsidRPr="003B4559">
        <w:rPr>
          <w:rFonts w:ascii="Arial" w:hAnsi="Arial" w:cs="Arial"/>
          <w:lang w:val="de-DE"/>
        </w:rPr>
        <w:t>Tageslicht-</w:t>
      </w:r>
      <w:r w:rsidR="007E672A">
        <w:rPr>
          <w:rFonts w:ascii="Arial" w:hAnsi="Arial" w:cs="Arial"/>
          <w:lang w:val="de-DE"/>
        </w:rPr>
        <w:t>Lösungen</w:t>
      </w:r>
      <w:r w:rsidR="00BD072F" w:rsidRPr="003B4559">
        <w:rPr>
          <w:rFonts w:ascii="Arial" w:hAnsi="Arial" w:cs="Arial"/>
          <w:lang w:val="de-DE"/>
        </w:rPr>
        <w:t xml:space="preserve"> im Dach</w:t>
      </w:r>
      <w:r w:rsidRPr="003B4559">
        <w:rPr>
          <w:rFonts w:ascii="Arial" w:hAnsi="Arial" w:cs="Arial"/>
          <w:lang w:val="de-DE"/>
        </w:rPr>
        <w:t xml:space="preserve"> beziehen, bringt die neue visuelle Identität den Kontrast zwischen Licht und Schatten exakt so zum Ausdruck, wie es die </w:t>
      </w:r>
      <w:r w:rsidR="00BD072F" w:rsidRPr="003B4559">
        <w:rPr>
          <w:rFonts w:ascii="Arial" w:hAnsi="Arial" w:cs="Arial"/>
          <w:lang w:val="de-DE"/>
        </w:rPr>
        <w:t>Tageslicht-</w:t>
      </w:r>
      <w:r w:rsidR="007E672A">
        <w:rPr>
          <w:rFonts w:ascii="Arial" w:hAnsi="Arial" w:cs="Arial"/>
          <w:lang w:val="de-DE"/>
        </w:rPr>
        <w:t>Lösungen</w:t>
      </w:r>
      <w:r w:rsidRPr="003B4559">
        <w:rPr>
          <w:rFonts w:ascii="Arial" w:hAnsi="Arial" w:cs="Arial"/>
          <w:lang w:val="de-DE"/>
        </w:rPr>
        <w:t xml:space="preserve"> tun. Des Weiter</w:t>
      </w:r>
      <w:r w:rsidR="00057795" w:rsidRPr="003B4559">
        <w:rPr>
          <w:rFonts w:ascii="Arial" w:hAnsi="Arial" w:cs="Arial"/>
          <w:lang w:val="de-DE"/>
        </w:rPr>
        <w:t>e</w:t>
      </w:r>
      <w:r w:rsidRPr="003B4559">
        <w:rPr>
          <w:rFonts w:ascii="Arial" w:hAnsi="Arial" w:cs="Arial"/>
          <w:lang w:val="de-DE"/>
        </w:rPr>
        <w:t xml:space="preserve">n wird die enge Verbindung zur Marke </w:t>
      </w:r>
      <w:r w:rsidR="00A22AD8">
        <w:rPr>
          <w:rFonts w:ascii="Arial" w:hAnsi="Arial" w:cs="Arial"/>
          <w:lang w:val="de-DE"/>
        </w:rPr>
        <w:t>VELUX</w:t>
      </w:r>
      <w:r w:rsidRPr="003B4559">
        <w:rPr>
          <w:rFonts w:ascii="Arial" w:hAnsi="Arial" w:cs="Arial"/>
          <w:lang w:val="de-DE"/>
        </w:rPr>
        <w:t xml:space="preserve"> durch die Verwendung der </w:t>
      </w:r>
      <w:r w:rsidR="00A22AD8">
        <w:rPr>
          <w:rFonts w:ascii="Arial" w:hAnsi="Arial" w:cs="Arial"/>
          <w:lang w:val="de-DE"/>
        </w:rPr>
        <w:t>VELUX</w:t>
      </w:r>
      <w:r w:rsidRPr="003B4559">
        <w:rPr>
          <w:rFonts w:ascii="Arial" w:hAnsi="Arial" w:cs="Arial"/>
          <w:lang w:val="de-DE"/>
        </w:rPr>
        <w:t xml:space="preserve">-Typografie gestärkt. </w:t>
      </w:r>
    </w:p>
    <w:p w14:paraId="3D5CF8CC" w14:textId="77777777" w:rsidR="009C70D3" w:rsidRPr="005B530F" w:rsidRDefault="009C70D3" w:rsidP="009C70D3">
      <w:pPr>
        <w:spacing w:after="120"/>
        <w:rPr>
          <w:rFonts w:ascii="Arial" w:hAnsi="Arial" w:cs="Arial"/>
          <w:b/>
          <w:lang w:val="de-DE"/>
        </w:rPr>
      </w:pPr>
    </w:p>
    <w:p w14:paraId="265233C2" w14:textId="1664A05B" w:rsidR="00521156" w:rsidRPr="00B34713" w:rsidRDefault="005B530F" w:rsidP="00FF4425">
      <w:pPr>
        <w:rPr>
          <w:rFonts w:ascii="Arial" w:hAnsi="Arial" w:cs="Arial"/>
          <w:b/>
          <w:bCs/>
          <w:color w:val="000000" w:themeColor="text1"/>
          <w:lang w:val="de-DE"/>
        </w:rPr>
      </w:pPr>
      <w:r w:rsidRPr="005B530F">
        <w:rPr>
          <w:rFonts w:ascii="Arial" w:hAnsi="Arial" w:cs="Arial"/>
          <w:b/>
          <w:bCs/>
          <w:color w:val="000000" w:themeColor="text1"/>
          <w:lang w:val="de-DE"/>
        </w:rPr>
        <w:t>Bildunterschriften</w:t>
      </w:r>
      <w:r w:rsidRPr="00B34713">
        <w:rPr>
          <w:rFonts w:ascii="Arial" w:hAnsi="Arial" w:cs="Arial"/>
          <w:b/>
          <w:bCs/>
          <w:color w:val="000000" w:themeColor="text1"/>
          <w:lang w:val="de-DE"/>
        </w:rPr>
        <w:t>:</w:t>
      </w:r>
    </w:p>
    <w:p w14:paraId="15C5488B" w14:textId="7F9752BB" w:rsidR="005B530F" w:rsidRPr="00B34713" w:rsidRDefault="00B34713" w:rsidP="00CF703D">
      <w:pPr>
        <w:spacing w:after="120"/>
        <w:rPr>
          <w:rFonts w:ascii="Arial" w:hAnsi="Arial" w:cs="Arial"/>
          <w:bCs/>
          <w:color w:val="000000" w:themeColor="text1"/>
          <w:lang w:val="de-DE"/>
        </w:rPr>
      </w:pPr>
      <w:r>
        <w:rPr>
          <w:rFonts w:ascii="Arial" w:hAnsi="Arial" w:cs="Arial"/>
          <w:bCs/>
          <w:noProof/>
          <w:color w:val="000000" w:themeColor="text1"/>
          <w:lang w:val="en-US"/>
        </w:rPr>
        <w:drawing>
          <wp:inline distT="0" distB="0" distL="0" distR="0" wp14:anchorId="6B4DD6BA" wp14:editId="5AD9345A">
            <wp:extent cx="2543175" cy="2543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rman Ico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175" cy="2543175"/>
                    </a:xfrm>
                    <a:prstGeom prst="rect">
                      <a:avLst/>
                    </a:prstGeom>
                  </pic:spPr>
                </pic:pic>
              </a:graphicData>
            </a:graphic>
          </wp:inline>
        </w:drawing>
      </w:r>
      <w:bookmarkStart w:id="2" w:name="_GoBack"/>
      <w:bookmarkEnd w:id="2"/>
    </w:p>
    <w:p w14:paraId="5B23D315" w14:textId="0203BE63" w:rsidR="00521156" w:rsidRPr="00B34713" w:rsidRDefault="005B530F" w:rsidP="00CF703D">
      <w:pPr>
        <w:spacing w:after="120"/>
        <w:rPr>
          <w:rFonts w:ascii="Arial" w:hAnsi="Arial" w:cs="Arial"/>
          <w:bCs/>
          <w:color w:val="000000" w:themeColor="text1"/>
          <w:lang w:val="de-DE"/>
        </w:rPr>
      </w:pPr>
      <w:r w:rsidRPr="00B34713">
        <w:rPr>
          <w:rFonts w:ascii="Arial" w:hAnsi="Arial" w:cs="Arial"/>
          <w:bCs/>
          <w:color w:val="000000" w:themeColor="text1"/>
          <w:lang w:val="de-DE"/>
        </w:rPr>
        <w:t>[Bild</w:t>
      </w:r>
      <w:r w:rsidR="00B24740" w:rsidRPr="00B34713">
        <w:rPr>
          <w:rFonts w:ascii="Arial" w:hAnsi="Arial" w:cs="Arial"/>
          <w:b/>
          <w:bCs/>
          <w:color w:val="000000" w:themeColor="text1"/>
          <w:lang w:val="de-DE"/>
        </w:rPr>
        <w:t>:</w:t>
      </w:r>
      <w:r w:rsidR="00B24740" w:rsidRPr="00B34713">
        <w:rPr>
          <w:rFonts w:ascii="Arial" w:hAnsi="Arial" w:cs="Arial"/>
          <w:bCs/>
          <w:color w:val="000000" w:themeColor="text1"/>
          <w:lang w:val="de-DE"/>
        </w:rPr>
        <w:t xml:space="preserve"> </w:t>
      </w:r>
      <w:proofErr w:type="spellStart"/>
      <w:r w:rsidR="00CF703D" w:rsidRPr="00B34713">
        <w:rPr>
          <w:rFonts w:ascii="Arial" w:hAnsi="Arial" w:cs="Arial"/>
          <w:bCs/>
          <w:color w:val="000000" w:themeColor="text1"/>
          <w:lang w:val="de-DE"/>
        </w:rPr>
        <w:t>velux_</w:t>
      </w:r>
      <w:r w:rsidR="00B24740" w:rsidRPr="00B34713">
        <w:rPr>
          <w:rFonts w:ascii="Arial" w:hAnsi="Arial" w:cs="Arial"/>
          <w:bCs/>
          <w:color w:val="000000" w:themeColor="text1"/>
          <w:lang w:val="de-DE"/>
        </w:rPr>
        <w:t>squa</w:t>
      </w:r>
      <w:r w:rsidRPr="00B34713">
        <w:rPr>
          <w:rFonts w:ascii="Arial" w:hAnsi="Arial" w:cs="Arial"/>
          <w:bCs/>
          <w:color w:val="000000" w:themeColor="text1"/>
          <w:lang w:val="de-DE"/>
        </w:rPr>
        <w:t>re</w:t>
      </w:r>
      <w:proofErr w:type="spellEnd"/>
      <w:r w:rsidR="00CF703D" w:rsidRPr="00B34713">
        <w:rPr>
          <w:rFonts w:ascii="Arial" w:hAnsi="Arial" w:cs="Arial"/>
          <w:bCs/>
          <w:color w:val="000000" w:themeColor="text1"/>
          <w:lang w:val="de-DE"/>
        </w:rPr>
        <w:t>_</w:t>
      </w:r>
      <w:r w:rsidRPr="00B34713">
        <w:rPr>
          <w:rFonts w:ascii="Arial" w:hAnsi="Arial" w:cs="Arial"/>
          <w:bCs/>
          <w:color w:val="000000" w:themeColor="text1"/>
          <w:lang w:val="de-DE"/>
        </w:rPr>
        <w:t xml:space="preserve"> </w:t>
      </w:r>
      <w:proofErr w:type="spellStart"/>
      <w:r w:rsidRPr="00B34713">
        <w:rPr>
          <w:rFonts w:ascii="Arial" w:hAnsi="Arial" w:cs="Arial"/>
          <w:bCs/>
          <w:color w:val="000000" w:themeColor="text1"/>
          <w:lang w:val="de-DE"/>
        </w:rPr>
        <w:t>building</w:t>
      </w:r>
      <w:proofErr w:type="spellEnd"/>
      <w:r w:rsidRPr="00B34713">
        <w:rPr>
          <w:rFonts w:ascii="Arial" w:hAnsi="Arial" w:cs="Arial"/>
          <w:bCs/>
          <w:color w:val="000000" w:themeColor="text1"/>
          <w:lang w:val="de-DE"/>
        </w:rPr>
        <w:t xml:space="preserve"> icons_rgb_antracit.jpg]</w:t>
      </w:r>
    </w:p>
    <w:p w14:paraId="75DE7B98" w14:textId="3ACBF936" w:rsidR="005B530F" w:rsidRPr="005B530F" w:rsidRDefault="005B530F" w:rsidP="00CF703D">
      <w:pPr>
        <w:spacing w:after="120" w:line="240" w:lineRule="atLeast"/>
        <w:rPr>
          <w:rFonts w:ascii="Arial" w:hAnsi="Arial" w:cs="Arial"/>
          <w:bCs/>
          <w:color w:val="000000" w:themeColor="text1"/>
          <w:lang w:val="de-DE"/>
        </w:rPr>
      </w:pPr>
      <w:r w:rsidRPr="005B530F">
        <w:rPr>
          <w:rFonts w:ascii="Arial" w:hAnsi="Arial" w:cs="Arial"/>
          <w:bCs/>
          <w:i/>
          <w:color w:val="000000" w:themeColor="text1"/>
          <w:lang w:val="de-DE"/>
        </w:rPr>
        <w:t>Die Strategie der VELUX</w:t>
      </w:r>
      <w:r w:rsidR="00145BC7">
        <w:rPr>
          <w:rFonts w:ascii="Arial" w:hAnsi="Arial" w:cs="Arial"/>
          <w:bCs/>
          <w:i/>
          <w:color w:val="000000" w:themeColor="text1"/>
          <w:lang w:val="de-DE"/>
        </w:rPr>
        <w:t xml:space="preserve"> </w:t>
      </w:r>
      <w:r w:rsidRPr="005B530F">
        <w:rPr>
          <w:rFonts w:ascii="Arial" w:hAnsi="Arial" w:cs="Arial"/>
          <w:bCs/>
          <w:i/>
          <w:color w:val="000000" w:themeColor="text1"/>
          <w:lang w:val="de-DE"/>
        </w:rPr>
        <w:t xml:space="preserve">Gruppe ist es, ihr Geschäft vom Wohnungsmarkt auf den gewerblichen, öffentlichen und industriellen Markt auszudehnen und Tageslicht und frische Luft </w:t>
      </w:r>
      <w:r w:rsidR="001E29CE" w:rsidRPr="005B530F">
        <w:rPr>
          <w:rFonts w:ascii="Arial" w:hAnsi="Arial" w:cs="Arial"/>
          <w:bCs/>
          <w:i/>
          <w:color w:val="000000" w:themeColor="text1"/>
          <w:lang w:val="de-DE"/>
        </w:rPr>
        <w:t xml:space="preserve">nicht nur </w:t>
      </w:r>
      <w:r w:rsidRPr="005B530F">
        <w:rPr>
          <w:rFonts w:ascii="Arial" w:hAnsi="Arial" w:cs="Arial"/>
          <w:bCs/>
          <w:i/>
          <w:color w:val="000000" w:themeColor="text1"/>
          <w:lang w:val="de-DE"/>
        </w:rPr>
        <w:t xml:space="preserve">in die Wohnungen der Menschen zu bringen - sondern </w:t>
      </w:r>
      <w:r w:rsidRPr="005B530F">
        <w:rPr>
          <w:rFonts w:ascii="Arial" w:hAnsi="Arial" w:cs="Arial"/>
          <w:b/>
          <w:bCs/>
          <w:i/>
          <w:color w:val="000000" w:themeColor="text1"/>
          <w:lang w:val="de-DE"/>
        </w:rPr>
        <w:t>auch</w:t>
      </w:r>
      <w:r w:rsidRPr="005B530F">
        <w:rPr>
          <w:rFonts w:ascii="Arial" w:hAnsi="Arial" w:cs="Arial"/>
          <w:bCs/>
          <w:i/>
          <w:color w:val="000000" w:themeColor="text1"/>
          <w:lang w:val="de-DE"/>
        </w:rPr>
        <w:t xml:space="preserve"> in gewerbliche, öffentliche und industrielle Gebäude. Dieser Markt umfasst alle anderen Arten von Gebäuden, in denen die Menschen ihre Zeit tagsüber verbringen: Büros, Schulen, Gesundheitseinrichtungen, Einkaufszentren und Einzelhandelsgeschäfte sowie große öffentliche Gebäude und Industriegebäude.</w:t>
      </w:r>
    </w:p>
    <w:p w14:paraId="2F06EE7C" w14:textId="3A63572F" w:rsidR="005B530F" w:rsidRPr="005B530F" w:rsidRDefault="00CF703D" w:rsidP="00CF703D">
      <w:pPr>
        <w:spacing w:after="120" w:line="240" w:lineRule="atLeast"/>
        <w:jc w:val="right"/>
        <w:rPr>
          <w:rFonts w:ascii="Arial" w:hAnsi="Arial" w:cs="Arial"/>
          <w:bCs/>
          <w:color w:val="000000" w:themeColor="text1"/>
          <w:lang w:val="de-DE"/>
        </w:rPr>
      </w:pPr>
      <w:r>
        <w:rPr>
          <w:rFonts w:ascii="Arial" w:hAnsi="Arial" w:cs="Arial"/>
          <w:bCs/>
          <w:color w:val="000000" w:themeColor="text1"/>
          <w:lang w:val="de-DE"/>
        </w:rPr>
        <w:t>Grafik</w:t>
      </w:r>
      <w:r w:rsidR="005B530F" w:rsidRPr="005B530F">
        <w:rPr>
          <w:rFonts w:ascii="Arial" w:hAnsi="Arial" w:cs="Arial"/>
          <w:bCs/>
          <w:color w:val="000000" w:themeColor="text1"/>
          <w:lang w:val="de-DE"/>
        </w:rPr>
        <w:t>: VELUX</w:t>
      </w:r>
    </w:p>
    <w:p w14:paraId="1F38E2CE" w14:textId="77777777" w:rsidR="00CF703D" w:rsidRPr="005B530F" w:rsidRDefault="00CF703D" w:rsidP="00CF703D">
      <w:pPr>
        <w:spacing w:after="120"/>
        <w:rPr>
          <w:rFonts w:ascii="VELUXforOffice" w:eastAsia="Times New Roman" w:hAnsi="VELUXforOffice"/>
          <w:lang w:val="de-DE"/>
        </w:rPr>
      </w:pPr>
      <w:r w:rsidRPr="005B530F">
        <w:rPr>
          <w:rFonts w:ascii="Arial" w:hAnsi="Arial" w:cs="Arial"/>
          <w:b/>
          <w:bCs/>
          <w:noProof/>
          <w:color w:val="000000" w:themeColor="text1"/>
          <w:lang w:val="de-DE" w:eastAsia="de-DE"/>
        </w:rPr>
        <w:lastRenderedPageBreak/>
        <w:drawing>
          <wp:inline distT="0" distB="0" distL="0" distR="0" wp14:anchorId="2932FDA0" wp14:editId="2438AE21">
            <wp:extent cx="1618488" cy="1118616"/>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8488" cy="1118616"/>
                    </a:xfrm>
                    <a:prstGeom prst="rect">
                      <a:avLst/>
                    </a:prstGeom>
                  </pic:spPr>
                </pic:pic>
              </a:graphicData>
            </a:graphic>
          </wp:inline>
        </w:drawing>
      </w:r>
    </w:p>
    <w:p w14:paraId="6461ADF5" w14:textId="0BEADAF5" w:rsidR="00CF703D" w:rsidRPr="00CF703D" w:rsidRDefault="00CF703D" w:rsidP="00CF703D">
      <w:pPr>
        <w:spacing w:after="120"/>
        <w:rPr>
          <w:rFonts w:ascii="Arial" w:eastAsia="Times New Roman" w:hAnsi="Arial" w:cs="Arial"/>
          <w:lang w:val="de-DE"/>
        </w:rPr>
      </w:pPr>
      <w:r w:rsidRPr="00CF703D">
        <w:rPr>
          <w:rFonts w:ascii="Arial" w:eastAsia="Times New Roman" w:hAnsi="Arial" w:cs="Arial"/>
          <w:lang w:val="de-DE"/>
        </w:rPr>
        <w:t xml:space="preserve">[Bild: </w:t>
      </w:r>
      <w:r>
        <w:rPr>
          <w:rFonts w:ascii="Arial" w:eastAsia="Times New Roman" w:hAnsi="Arial" w:cs="Arial"/>
          <w:lang w:val="de-DE"/>
        </w:rPr>
        <w:t>velux_</w:t>
      </w:r>
      <w:r w:rsidRPr="00CF703D">
        <w:rPr>
          <w:rFonts w:ascii="Arial" w:eastAsia="Times New Roman" w:hAnsi="Arial" w:cs="Arial"/>
          <w:lang w:val="de-DE"/>
        </w:rPr>
        <w:t>core.jpg]</w:t>
      </w:r>
    </w:p>
    <w:p w14:paraId="125B87E4" w14:textId="77777777" w:rsidR="00CF703D" w:rsidRDefault="00CF703D" w:rsidP="00CF703D">
      <w:pPr>
        <w:spacing w:after="120" w:line="240" w:lineRule="auto"/>
        <w:rPr>
          <w:rFonts w:ascii="Arial" w:eastAsia="Times New Roman" w:hAnsi="Arial" w:cs="Arial"/>
          <w:i/>
          <w:lang w:val="de-DE"/>
        </w:rPr>
      </w:pPr>
      <w:r w:rsidRPr="00CF703D">
        <w:rPr>
          <w:rFonts w:ascii="Arial" w:eastAsia="Times New Roman" w:hAnsi="Arial" w:cs="Arial"/>
          <w:i/>
          <w:lang w:val="de-DE"/>
        </w:rPr>
        <w:t>Das neue Logo unterstreicht, dass es sich um einen Geschäftsbereich der Marke VELUX handelt, indem es die gleiche Form und die gleiche rote Farbe wie das VELUX Logo verwendet.</w:t>
      </w:r>
    </w:p>
    <w:p w14:paraId="5C790148" w14:textId="77777777" w:rsidR="00CF703D" w:rsidRPr="00CF703D" w:rsidRDefault="00CF703D" w:rsidP="00CF703D">
      <w:pPr>
        <w:spacing w:after="120" w:line="240" w:lineRule="auto"/>
        <w:jc w:val="right"/>
        <w:rPr>
          <w:rFonts w:ascii="Arial" w:eastAsia="Times New Roman" w:hAnsi="Arial" w:cs="Arial"/>
          <w:i/>
          <w:lang w:val="de-DE"/>
        </w:rPr>
      </w:pPr>
      <w:r>
        <w:rPr>
          <w:rFonts w:ascii="Arial" w:eastAsia="Times New Roman" w:hAnsi="Arial" w:cs="Arial"/>
          <w:i/>
          <w:lang w:val="de-DE"/>
        </w:rPr>
        <w:t>Grafik: VELUX</w:t>
      </w:r>
    </w:p>
    <w:p w14:paraId="7D53DAE0" w14:textId="77777777" w:rsidR="005B530F" w:rsidRPr="005B530F" w:rsidRDefault="005B530F" w:rsidP="005B530F">
      <w:pPr>
        <w:spacing w:line="240" w:lineRule="atLeast"/>
        <w:rPr>
          <w:rFonts w:ascii="Arial" w:hAnsi="Arial" w:cs="Arial"/>
          <w:bCs/>
          <w:color w:val="000000" w:themeColor="text1"/>
          <w:sz w:val="20"/>
          <w:szCs w:val="20"/>
          <w:lang w:val="de-DE"/>
        </w:rPr>
      </w:pPr>
    </w:p>
    <w:p w14:paraId="33E0FD84" w14:textId="77777777" w:rsidR="005B530F" w:rsidRPr="003B4559" w:rsidRDefault="005B530F" w:rsidP="005B530F">
      <w:pPr>
        <w:spacing w:after="120"/>
        <w:rPr>
          <w:rFonts w:ascii="Arial" w:hAnsi="Arial" w:cs="Arial"/>
          <w:b/>
          <w:sz w:val="20"/>
          <w:szCs w:val="20"/>
          <w:lang w:val="de-DE"/>
        </w:rPr>
      </w:pPr>
      <w:r w:rsidRPr="003B4559">
        <w:rPr>
          <w:rFonts w:ascii="Arial" w:hAnsi="Arial" w:cs="Arial"/>
          <w:b/>
          <w:bCs/>
          <w:sz w:val="20"/>
          <w:szCs w:val="20"/>
          <w:lang w:val="de-DE"/>
        </w:rPr>
        <w:t>Über die JET-Gruppe</w:t>
      </w:r>
    </w:p>
    <w:p w14:paraId="596A8745" w14:textId="77777777" w:rsidR="005B530F" w:rsidRDefault="005B530F" w:rsidP="005B530F">
      <w:pPr>
        <w:rPr>
          <w:rFonts w:ascii="Arial" w:hAnsi="Arial" w:cs="Arial"/>
          <w:sz w:val="20"/>
          <w:szCs w:val="20"/>
          <w:lang w:val="de-DE"/>
        </w:rPr>
      </w:pPr>
      <w:r w:rsidRPr="003B4559">
        <w:rPr>
          <w:rFonts w:ascii="Arial" w:hAnsi="Arial" w:cs="Arial"/>
          <w:sz w:val="20"/>
          <w:szCs w:val="20"/>
          <w:lang w:val="de-DE"/>
        </w:rPr>
        <w:t>Die JET-Gruppe wurde 1970 gegründet. Heute hat sie knapp 800 Mitarbeiter mit dem Hauptsitz im nordrhein-westfälischen Hüllhorst und eigenen Vertriebsbüros in den sieben Ländern Deutschland, Polen, Dänemark, Norwegen, den Niederlanden, Großbritannien und der Schweiz sowie sechs Produktionsstandorten in Deutschland, Dänemark, Großbritannien und den Niederlanden.</w:t>
      </w:r>
    </w:p>
    <w:p w14:paraId="66D4457F" w14:textId="77777777" w:rsidR="005B530F" w:rsidRDefault="005B530F" w:rsidP="005B530F">
      <w:pPr>
        <w:rPr>
          <w:rFonts w:ascii="Arial" w:hAnsi="Arial" w:cs="Arial"/>
          <w:sz w:val="20"/>
          <w:szCs w:val="20"/>
          <w:lang w:val="de-DE"/>
        </w:rPr>
      </w:pPr>
    </w:p>
    <w:p w14:paraId="787AF465" w14:textId="77777777" w:rsidR="005B530F" w:rsidRPr="003B4559" w:rsidRDefault="005B530F" w:rsidP="005B530F">
      <w:pPr>
        <w:spacing w:after="120"/>
        <w:rPr>
          <w:rFonts w:ascii="Arial" w:hAnsi="Arial" w:cs="Arial"/>
          <w:b/>
          <w:sz w:val="20"/>
          <w:szCs w:val="20"/>
          <w:lang w:val="de-DE"/>
        </w:rPr>
      </w:pPr>
      <w:r w:rsidRPr="003B4559">
        <w:rPr>
          <w:rFonts w:ascii="Arial" w:hAnsi="Arial" w:cs="Arial"/>
          <w:b/>
          <w:bCs/>
          <w:sz w:val="20"/>
          <w:szCs w:val="20"/>
          <w:lang w:val="de-DE"/>
        </w:rPr>
        <w:t xml:space="preserve">Über </w:t>
      </w:r>
      <w:r>
        <w:rPr>
          <w:rFonts w:ascii="Arial" w:hAnsi="Arial" w:cs="Arial"/>
          <w:b/>
          <w:bCs/>
          <w:sz w:val="20"/>
          <w:szCs w:val="20"/>
          <w:lang w:val="de-DE"/>
        </w:rPr>
        <w:t>VELUX</w:t>
      </w:r>
      <w:r w:rsidRPr="003B4559">
        <w:rPr>
          <w:rFonts w:ascii="Arial" w:hAnsi="Arial" w:cs="Arial"/>
          <w:b/>
          <w:bCs/>
          <w:sz w:val="20"/>
          <w:szCs w:val="20"/>
          <w:lang w:val="de-DE"/>
        </w:rPr>
        <w:t xml:space="preserve"> Commercial</w:t>
      </w:r>
    </w:p>
    <w:p w14:paraId="1FFED00A" w14:textId="77777777" w:rsidR="005B530F" w:rsidRDefault="005B530F" w:rsidP="005B530F">
      <w:pPr>
        <w:rPr>
          <w:rFonts w:ascii="Arial" w:hAnsi="Arial" w:cs="Arial"/>
          <w:sz w:val="20"/>
          <w:szCs w:val="20"/>
          <w:lang w:val="de-DE"/>
        </w:rPr>
      </w:pPr>
      <w:r>
        <w:rPr>
          <w:rFonts w:ascii="Arial" w:hAnsi="Arial" w:cs="Arial"/>
          <w:sz w:val="20"/>
          <w:szCs w:val="20"/>
          <w:lang w:val="de-DE"/>
        </w:rPr>
        <w:t>VELUX</w:t>
      </w:r>
      <w:r w:rsidRPr="003B4559">
        <w:rPr>
          <w:rFonts w:ascii="Arial" w:hAnsi="Arial" w:cs="Arial"/>
          <w:sz w:val="20"/>
          <w:szCs w:val="20"/>
          <w:lang w:val="de-DE"/>
        </w:rPr>
        <w:t xml:space="preserve"> Commercial umfasst Wasco, </w:t>
      </w:r>
      <w:proofErr w:type="spellStart"/>
      <w:r w:rsidRPr="003B4559">
        <w:rPr>
          <w:rFonts w:ascii="Arial" w:hAnsi="Arial" w:cs="Arial"/>
          <w:sz w:val="20"/>
          <w:szCs w:val="20"/>
          <w:lang w:val="de-DE"/>
        </w:rPr>
        <w:t>Vitral</w:t>
      </w:r>
      <w:proofErr w:type="spellEnd"/>
      <w:r w:rsidRPr="003B4559">
        <w:rPr>
          <w:rFonts w:ascii="Arial" w:hAnsi="Arial" w:cs="Arial"/>
          <w:sz w:val="20"/>
          <w:szCs w:val="20"/>
          <w:lang w:val="de-DE"/>
        </w:rPr>
        <w:t xml:space="preserve">, Jet und </w:t>
      </w:r>
      <w:r>
        <w:rPr>
          <w:rFonts w:ascii="Arial" w:hAnsi="Arial" w:cs="Arial"/>
          <w:sz w:val="20"/>
          <w:szCs w:val="20"/>
          <w:lang w:val="de-DE"/>
        </w:rPr>
        <w:t>VELUX</w:t>
      </w:r>
      <w:r w:rsidRPr="003B4559">
        <w:rPr>
          <w:rFonts w:ascii="Arial" w:hAnsi="Arial" w:cs="Arial"/>
          <w:sz w:val="20"/>
          <w:szCs w:val="20"/>
          <w:lang w:val="de-DE"/>
        </w:rPr>
        <w:t xml:space="preserve"> Modular Skylights und hat somit in 13 Ländern insgesamt knapp 1.200 Mitarbeiter in Vertrieb, Produktion und Verwaltung. So kann ein breites Produktportfolio von Flachdachfenstern für Industriegebäude, über Lösungen für Rauch- und Wärmeabzugsanlagen, bis hin zu vorgefertigten </w:t>
      </w:r>
      <w:r>
        <w:rPr>
          <w:rFonts w:ascii="Arial" w:hAnsi="Arial" w:cs="Arial"/>
          <w:sz w:val="20"/>
          <w:szCs w:val="20"/>
          <w:lang w:val="de-DE"/>
        </w:rPr>
        <w:t>modularen Tageslicht-L</w:t>
      </w:r>
      <w:r w:rsidRPr="003B4559">
        <w:rPr>
          <w:rFonts w:ascii="Arial" w:hAnsi="Arial" w:cs="Arial"/>
          <w:sz w:val="20"/>
          <w:szCs w:val="20"/>
          <w:lang w:val="de-DE"/>
        </w:rPr>
        <w:t>ösungen angeboten werden.</w:t>
      </w:r>
    </w:p>
    <w:p w14:paraId="0D7FC12A" w14:textId="77777777" w:rsidR="005B530F" w:rsidRPr="003B4559" w:rsidRDefault="005B530F" w:rsidP="005B530F">
      <w:pPr>
        <w:rPr>
          <w:rFonts w:ascii="Arial" w:hAnsi="Arial" w:cs="Arial"/>
          <w:sz w:val="20"/>
          <w:szCs w:val="20"/>
          <w:lang w:val="de-DE"/>
        </w:rPr>
      </w:pPr>
    </w:p>
    <w:p w14:paraId="79221E34" w14:textId="77777777" w:rsidR="005B530F" w:rsidRPr="003B4559" w:rsidRDefault="005B530F" w:rsidP="005B530F">
      <w:pPr>
        <w:spacing w:after="120"/>
        <w:rPr>
          <w:rFonts w:ascii="Arial" w:hAnsi="Arial" w:cs="Arial"/>
          <w:b/>
          <w:sz w:val="20"/>
          <w:szCs w:val="20"/>
          <w:lang w:val="de-DE"/>
        </w:rPr>
      </w:pPr>
      <w:r w:rsidRPr="003B4559">
        <w:rPr>
          <w:rFonts w:ascii="Arial" w:hAnsi="Arial" w:cs="Arial"/>
          <w:b/>
          <w:bCs/>
          <w:sz w:val="20"/>
          <w:szCs w:val="20"/>
          <w:lang w:val="de-DE"/>
        </w:rPr>
        <w:t xml:space="preserve">Über die </w:t>
      </w:r>
      <w:r>
        <w:rPr>
          <w:rFonts w:ascii="Arial" w:hAnsi="Arial" w:cs="Arial"/>
          <w:b/>
          <w:bCs/>
          <w:sz w:val="20"/>
          <w:szCs w:val="20"/>
          <w:lang w:val="de-DE"/>
        </w:rPr>
        <w:t>VELUX</w:t>
      </w:r>
      <w:r w:rsidRPr="003B4559">
        <w:rPr>
          <w:rFonts w:ascii="Arial" w:hAnsi="Arial" w:cs="Arial"/>
          <w:b/>
          <w:bCs/>
          <w:sz w:val="20"/>
          <w:szCs w:val="20"/>
          <w:lang w:val="de-DE"/>
        </w:rPr>
        <w:t xml:space="preserve"> Gruppe</w:t>
      </w:r>
    </w:p>
    <w:p w14:paraId="2CEDA8B4" w14:textId="77777777" w:rsidR="005B530F" w:rsidRPr="003B4559" w:rsidRDefault="005B530F" w:rsidP="005B530F">
      <w:pPr>
        <w:rPr>
          <w:rFonts w:ascii="Arial" w:hAnsi="Arial" w:cs="Arial"/>
          <w:sz w:val="20"/>
          <w:szCs w:val="20"/>
          <w:lang w:val="de-DE"/>
        </w:rPr>
      </w:pPr>
      <w:r w:rsidRPr="003B4559">
        <w:rPr>
          <w:rFonts w:ascii="Arial" w:hAnsi="Arial" w:cs="Arial"/>
          <w:sz w:val="20"/>
          <w:szCs w:val="20"/>
          <w:lang w:val="de-DE"/>
        </w:rPr>
        <w:t xml:space="preserve">Seit über 75 Jahren schafft die </w:t>
      </w:r>
      <w:r>
        <w:rPr>
          <w:rFonts w:ascii="Arial" w:hAnsi="Arial" w:cs="Arial"/>
          <w:sz w:val="20"/>
          <w:szCs w:val="20"/>
          <w:lang w:val="de-DE"/>
        </w:rPr>
        <w:t>VELUX</w:t>
      </w:r>
      <w:r w:rsidRPr="003B4559">
        <w:rPr>
          <w:rFonts w:ascii="Arial" w:hAnsi="Arial" w:cs="Arial"/>
          <w:sz w:val="20"/>
          <w:szCs w:val="20"/>
          <w:lang w:val="de-DE"/>
        </w:rPr>
        <w:t xml:space="preserve"> Gruppe durch die maximale Nutzung von Tageslicht und frischer Luft durch das Dach ein besseres Lebensumfeld für Menschen in der ganzen Welt. Das Produktprogramm umfasst Dachfenster und Oberlicht-Module, dekorative</w:t>
      </w:r>
      <w:r>
        <w:rPr>
          <w:rFonts w:ascii="Arial" w:hAnsi="Arial" w:cs="Arial"/>
          <w:sz w:val="20"/>
          <w:szCs w:val="20"/>
          <w:lang w:val="de-DE"/>
        </w:rPr>
        <w:t xml:space="preserve"> </w:t>
      </w:r>
      <w:r w:rsidRPr="003B4559">
        <w:rPr>
          <w:rFonts w:ascii="Arial" w:hAnsi="Arial" w:cs="Arial"/>
          <w:sz w:val="20"/>
          <w:szCs w:val="20"/>
          <w:lang w:val="de-DE"/>
        </w:rPr>
        <w:t xml:space="preserve">Sonnenschutzprodukte sowie Rollläden, Anschlussprodukte und intelligente Produkte für die Haussteuerung. Diese Produkte sorgen für ein gesundes und nachhaltiges Raumklima beim Arbeiten und Lernen sowie beim Spielen und in der Freizeit. Die </w:t>
      </w:r>
      <w:r>
        <w:rPr>
          <w:rFonts w:ascii="Arial" w:hAnsi="Arial" w:cs="Arial"/>
          <w:sz w:val="20"/>
          <w:szCs w:val="20"/>
          <w:lang w:val="de-DE"/>
        </w:rPr>
        <w:t>VELUX</w:t>
      </w:r>
      <w:r w:rsidRPr="003B4559">
        <w:rPr>
          <w:rFonts w:ascii="Arial" w:hAnsi="Arial" w:cs="Arial"/>
          <w:sz w:val="20"/>
          <w:szCs w:val="20"/>
          <w:lang w:val="de-DE"/>
        </w:rPr>
        <w:t xml:space="preserve"> Gruppe ist mit Fertigungs- und Vertriebsstätten in über 40 Ländern und ca. 11.000 Mitarbeitern weltweit tätig. Sie gehört zur VKR Holding A/S, einer Aktiengesellschaft nach dänischem Recht im Alleineigentum von gemeinnützigen Stiftungen (</w:t>
      </w:r>
      <w:r>
        <w:rPr>
          <w:rFonts w:ascii="Arial" w:hAnsi="Arial" w:cs="Arial"/>
          <w:sz w:val="20"/>
          <w:szCs w:val="20"/>
          <w:lang w:val="de-DE"/>
        </w:rPr>
        <w:t>VELUX</w:t>
      </w:r>
      <w:r w:rsidRPr="003B4559">
        <w:rPr>
          <w:rFonts w:ascii="Arial" w:hAnsi="Arial" w:cs="Arial"/>
          <w:sz w:val="20"/>
          <w:szCs w:val="20"/>
          <w:lang w:val="de-DE"/>
        </w:rPr>
        <w:t xml:space="preserve"> STIFTUNGEN) und der Familie des Unternehmensgründers. 2017 erwirtschaftete die VKR Holding einen Gesamtumsatz von 2,5 Mrd. EUR und die </w:t>
      </w:r>
      <w:r>
        <w:rPr>
          <w:rFonts w:ascii="Arial" w:hAnsi="Arial" w:cs="Arial"/>
          <w:sz w:val="20"/>
          <w:szCs w:val="20"/>
          <w:lang w:val="de-DE"/>
        </w:rPr>
        <w:t>VELUX</w:t>
      </w:r>
      <w:r w:rsidRPr="003B4559">
        <w:rPr>
          <w:rFonts w:ascii="Arial" w:hAnsi="Arial" w:cs="Arial"/>
          <w:sz w:val="20"/>
          <w:szCs w:val="20"/>
          <w:lang w:val="de-DE"/>
        </w:rPr>
        <w:t xml:space="preserve"> STIFTUNGEN spendeten 170 Mio. EUR für wohltätige Zwecke. Weitere Informationen finden Sie im Internet unter </w:t>
      </w:r>
      <w:hyperlink r:id="rId13" w:history="1">
        <w:r w:rsidRPr="003B4559">
          <w:rPr>
            <w:rStyle w:val="Hyperlink"/>
            <w:rFonts w:ascii="Arial" w:hAnsi="Arial" w:cs="Arial"/>
            <w:sz w:val="20"/>
            <w:szCs w:val="20"/>
            <w:lang w:val="de-DE"/>
          </w:rPr>
          <w:t>www.velux.com</w:t>
        </w:r>
      </w:hyperlink>
      <w:r w:rsidRPr="003B4559">
        <w:rPr>
          <w:rFonts w:ascii="Arial" w:hAnsi="Arial" w:cs="Arial"/>
          <w:sz w:val="20"/>
          <w:szCs w:val="20"/>
          <w:lang w:val="de-DE"/>
        </w:rPr>
        <w:t>.</w:t>
      </w:r>
    </w:p>
    <w:p w14:paraId="7DDC9DAC" w14:textId="3AB858B1" w:rsidR="00521156" w:rsidRPr="003D52A5" w:rsidRDefault="00521156" w:rsidP="00FF4425">
      <w:pPr>
        <w:rPr>
          <w:rFonts w:ascii="Arial" w:hAnsi="Arial" w:cs="Arial"/>
          <w:bCs/>
          <w:color w:val="000000" w:themeColor="text1"/>
          <w:sz w:val="20"/>
          <w:szCs w:val="20"/>
          <w:lang w:val="de-DE"/>
        </w:rPr>
      </w:pPr>
    </w:p>
    <w:p w14:paraId="4ECC6A77" w14:textId="6C056720" w:rsidR="000D2F2D" w:rsidRPr="00E11F5E" w:rsidRDefault="000D2F2D" w:rsidP="00FF4425">
      <w:pPr>
        <w:rPr>
          <w:rFonts w:ascii="Arial" w:hAnsi="Arial" w:cs="Arial"/>
          <w:sz w:val="20"/>
          <w:szCs w:val="20"/>
        </w:rPr>
      </w:pPr>
      <w:r w:rsidRPr="00E11F5E">
        <w:rPr>
          <w:rFonts w:ascii="Arial" w:hAnsi="Arial" w:cs="Arial"/>
          <w:b/>
          <w:bCs/>
          <w:color w:val="000000" w:themeColor="text1"/>
          <w:sz w:val="20"/>
          <w:szCs w:val="20"/>
        </w:rPr>
        <w:t>Kontakt</w:t>
      </w:r>
      <w:r w:rsidRPr="00E11F5E">
        <w:rPr>
          <w:rFonts w:ascii="Arial" w:hAnsi="Arial" w:cs="Arial"/>
          <w:color w:val="000000" w:themeColor="text1"/>
          <w:sz w:val="20"/>
          <w:szCs w:val="20"/>
        </w:rPr>
        <w:t>:</w:t>
      </w:r>
      <w:r w:rsidRPr="00E11F5E">
        <w:rPr>
          <w:rFonts w:ascii="Arial" w:hAnsi="Arial" w:cs="Arial"/>
          <w:color w:val="000000" w:themeColor="text1"/>
          <w:sz w:val="20"/>
          <w:szCs w:val="20"/>
        </w:rPr>
        <w:br/>
      </w:r>
      <w:r w:rsidRPr="00E11F5E">
        <w:rPr>
          <w:rFonts w:ascii="Arial" w:hAnsi="Arial" w:cs="Arial"/>
          <w:noProof/>
          <w:color w:val="000000" w:themeColor="text1"/>
          <w:sz w:val="20"/>
          <w:szCs w:val="20"/>
        </w:rPr>
        <w:t>Jens Bekke, Director Global Media Relations der VELUX Gruppe, +45 2155 0789</w:t>
      </w:r>
    </w:p>
    <w:sectPr w:rsidR="000D2F2D" w:rsidRPr="00E11F5E" w:rsidSect="009C70D3">
      <w:headerReference w:type="default" r:id="rId14"/>
      <w:pgSz w:w="11906" w:h="16838"/>
      <w:pgMar w:top="2410" w:right="2125"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00068" w14:textId="77777777" w:rsidR="00AC12D5" w:rsidRDefault="00AC12D5" w:rsidP="00EF4130">
      <w:pPr>
        <w:spacing w:after="0" w:line="240" w:lineRule="auto"/>
      </w:pPr>
      <w:r>
        <w:separator/>
      </w:r>
    </w:p>
  </w:endnote>
  <w:endnote w:type="continuationSeparator" w:id="0">
    <w:p w14:paraId="31799C21" w14:textId="77777777" w:rsidR="00AC12D5" w:rsidRDefault="00AC12D5" w:rsidP="00EF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LUXforOffice">
    <w:panose1 w:val="02000506030000020004"/>
    <w:charset w:val="00"/>
    <w:family w:val="auto"/>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7B00E" w14:textId="77777777" w:rsidR="00AC12D5" w:rsidRDefault="00AC12D5" w:rsidP="00EF4130">
      <w:pPr>
        <w:spacing w:after="0" w:line="240" w:lineRule="auto"/>
      </w:pPr>
      <w:r>
        <w:separator/>
      </w:r>
    </w:p>
  </w:footnote>
  <w:footnote w:type="continuationSeparator" w:id="0">
    <w:p w14:paraId="670990EE" w14:textId="77777777" w:rsidR="00AC12D5" w:rsidRDefault="00AC12D5" w:rsidP="00EF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01"/>
      <w:gridCol w:w="2495"/>
      <w:gridCol w:w="2767"/>
    </w:tblGrid>
    <w:tr w:rsidR="0087544C" w14:paraId="4C016916" w14:textId="77777777" w:rsidTr="00962933">
      <w:tc>
        <w:tcPr>
          <w:tcW w:w="3209" w:type="dxa"/>
          <w:vAlign w:val="bottom"/>
        </w:tcPr>
        <w:p w14:paraId="032D1F25" w14:textId="77777777" w:rsidR="0087544C" w:rsidRDefault="0087544C" w:rsidP="009C70D3">
          <w:pPr>
            <w:pStyle w:val="Header"/>
          </w:pPr>
          <w:r>
            <w:rPr>
              <w:noProof/>
              <w:lang w:val="de-DE" w:eastAsia="de-DE"/>
            </w:rPr>
            <w:drawing>
              <wp:inline distT="0" distB="0" distL="0" distR="0" wp14:anchorId="031E73F0" wp14:editId="42527F27">
                <wp:extent cx="1612900" cy="533400"/>
                <wp:effectExtent l="0" t="0" r="0" b="0"/>
                <wp:docPr id="3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_log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533400"/>
                        </a:xfrm>
                        <a:prstGeom prst="rect">
                          <a:avLst/>
                        </a:prstGeom>
                      </pic:spPr>
                    </pic:pic>
                  </a:graphicData>
                </a:graphic>
              </wp:inline>
            </w:drawing>
          </w:r>
        </w:p>
      </w:tc>
      <w:tc>
        <w:tcPr>
          <w:tcW w:w="3209" w:type="dxa"/>
          <w:vAlign w:val="bottom"/>
        </w:tcPr>
        <w:p w14:paraId="7510751A" w14:textId="77777777" w:rsidR="0087544C" w:rsidRPr="00AA3825" w:rsidRDefault="0087544C" w:rsidP="00EF4130">
          <w:pPr>
            <w:jc w:val="center"/>
          </w:pPr>
          <w:r>
            <w:fldChar w:fldCharType="begin"/>
          </w:r>
          <w:r>
            <w:instrText xml:space="preserve"> INCLUDEPICTURE "https://velux-my.sharepoint.com/var/folders/_y/80dpmchs59v15k6tnn45k0_c0000gp/T/com.microsoft.Word/WebArchiveCopyPasteTempFiles/a4gJg3f9plu8+rq6DvE0EmgC22hDFFGw1xuGdd0oBAAAAAAAAAAAAAAAAAAAAAAAAAACAIv8DxpzIC1bTODIAAAAASUVORK5CYII=" \* MERGEFORMAT </w:instrText>
          </w:r>
          <w:r>
            <w:fldChar w:fldCharType="end"/>
          </w:r>
        </w:p>
      </w:tc>
      <w:tc>
        <w:tcPr>
          <w:tcW w:w="3210" w:type="dxa"/>
        </w:tcPr>
        <w:p w14:paraId="13695C2A" w14:textId="77777777" w:rsidR="0087544C" w:rsidRDefault="0087544C" w:rsidP="009C70D3">
          <w:pPr>
            <w:pStyle w:val="Header"/>
            <w:jc w:val="right"/>
          </w:pPr>
          <w:r>
            <w:rPr>
              <w:noProof/>
            </w:rPr>
            <w:t xml:space="preserve"> </w:t>
          </w:r>
          <w:r>
            <w:rPr>
              <w:noProof/>
              <w:lang w:val="de-DE" w:eastAsia="de-DE"/>
            </w:rPr>
            <w:drawing>
              <wp:inline distT="0" distB="0" distL="0" distR="0" wp14:anchorId="71E4C127" wp14:editId="6FD2D8AC">
                <wp:extent cx="725101" cy="637006"/>
                <wp:effectExtent l="0" t="0" r="0" b="0"/>
                <wp:docPr id="36" name="Picture 1" descr="C:\Users\jbk.vg-cbm\AppData\Local\Microsoft\Windows\INetCache\Content.Word\jet_logo_UKall_part_of_the_VELUX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k.vg-cbm\AppData\Local\Microsoft\Windows\INetCache\Content.Word\jet_logo_UKall_part_of_the_VELUX_Grou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01" cy="637006"/>
                        </a:xfrm>
                        <a:prstGeom prst="rect">
                          <a:avLst/>
                        </a:prstGeom>
                        <a:noFill/>
                        <a:ln>
                          <a:noFill/>
                        </a:ln>
                      </pic:spPr>
                    </pic:pic>
                  </a:graphicData>
                </a:graphic>
              </wp:inline>
            </w:drawing>
          </w:r>
        </w:p>
      </w:tc>
    </w:tr>
  </w:tbl>
  <w:p w14:paraId="6D2942D0" w14:textId="77777777" w:rsidR="0087544C" w:rsidRDefault="00875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13479"/>
    <w:multiLevelType w:val="hybridMultilevel"/>
    <w:tmpl w:val="64602DA8"/>
    <w:lvl w:ilvl="0" w:tplc="E0FCB160">
      <w:start w:val="1"/>
      <w:numFmt w:val="bullet"/>
      <w:lvlText w:val="►"/>
      <w:lvlJc w:val="left"/>
      <w:pPr>
        <w:tabs>
          <w:tab w:val="num" w:pos="720"/>
        </w:tabs>
        <w:ind w:left="720" w:hanging="360"/>
      </w:pPr>
      <w:rPr>
        <w:rFonts w:ascii="Arial" w:hAnsi="Arial" w:hint="default"/>
      </w:rPr>
    </w:lvl>
    <w:lvl w:ilvl="1" w:tplc="3BDAA514" w:tentative="1">
      <w:start w:val="1"/>
      <w:numFmt w:val="bullet"/>
      <w:lvlText w:val="►"/>
      <w:lvlJc w:val="left"/>
      <w:pPr>
        <w:tabs>
          <w:tab w:val="num" w:pos="1440"/>
        </w:tabs>
        <w:ind w:left="1440" w:hanging="360"/>
      </w:pPr>
      <w:rPr>
        <w:rFonts w:ascii="Arial" w:hAnsi="Arial" w:hint="default"/>
      </w:rPr>
    </w:lvl>
    <w:lvl w:ilvl="2" w:tplc="7812EBF0" w:tentative="1">
      <w:start w:val="1"/>
      <w:numFmt w:val="bullet"/>
      <w:lvlText w:val="►"/>
      <w:lvlJc w:val="left"/>
      <w:pPr>
        <w:tabs>
          <w:tab w:val="num" w:pos="2160"/>
        </w:tabs>
        <w:ind w:left="2160" w:hanging="360"/>
      </w:pPr>
      <w:rPr>
        <w:rFonts w:ascii="Arial" w:hAnsi="Arial" w:hint="default"/>
      </w:rPr>
    </w:lvl>
    <w:lvl w:ilvl="3" w:tplc="D83E423C" w:tentative="1">
      <w:start w:val="1"/>
      <w:numFmt w:val="bullet"/>
      <w:lvlText w:val="►"/>
      <w:lvlJc w:val="left"/>
      <w:pPr>
        <w:tabs>
          <w:tab w:val="num" w:pos="2880"/>
        </w:tabs>
        <w:ind w:left="2880" w:hanging="360"/>
      </w:pPr>
      <w:rPr>
        <w:rFonts w:ascii="Arial" w:hAnsi="Arial" w:hint="default"/>
      </w:rPr>
    </w:lvl>
    <w:lvl w:ilvl="4" w:tplc="6DA030EC" w:tentative="1">
      <w:start w:val="1"/>
      <w:numFmt w:val="bullet"/>
      <w:lvlText w:val="►"/>
      <w:lvlJc w:val="left"/>
      <w:pPr>
        <w:tabs>
          <w:tab w:val="num" w:pos="3600"/>
        </w:tabs>
        <w:ind w:left="3600" w:hanging="360"/>
      </w:pPr>
      <w:rPr>
        <w:rFonts w:ascii="Arial" w:hAnsi="Arial" w:hint="default"/>
      </w:rPr>
    </w:lvl>
    <w:lvl w:ilvl="5" w:tplc="1DA47AB0" w:tentative="1">
      <w:start w:val="1"/>
      <w:numFmt w:val="bullet"/>
      <w:lvlText w:val="►"/>
      <w:lvlJc w:val="left"/>
      <w:pPr>
        <w:tabs>
          <w:tab w:val="num" w:pos="4320"/>
        </w:tabs>
        <w:ind w:left="4320" w:hanging="360"/>
      </w:pPr>
      <w:rPr>
        <w:rFonts w:ascii="Arial" w:hAnsi="Arial" w:hint="default"/>
      </w:rPr>
    </w:lvl>
    <w:lvl w:ilvl="6" w:tplc="0E6C9288" w:tentative="1">
      <w:start w:val="1"/>
      <w:numFmt w:val="bullet"/>
      <w:lvlText w:val="►"/>
      <w:lvlJc w:val="left"/>
      <w:pPr>
        <w:tabs>
          <w:tab w:val="num" w:pos="5040"/>
        </w:tabs>
        <w:ind w:left="5040" w:hanging="360"/>
      </w:pPr>
      <w:rPr>
        <w:rFonts w:ascii="Arial" w:hAnsi="Arial" w:hint="default"/>
      </w:rPr>
    </w:lvl>
    <w:lvl w:ilvl="7" w:tplc="DD0A4532" w:tentative="1">
      <w:start w:val="1"/>
      <w:numFmt w:val="bullet"/>
      <w:lvlText w:val="►"/>
      <w:lvlJc w:val="left"/>
      <w:pPr>
        <w:tabs>
          <w:tab w:val="num" w:pos="5760"/>
        </w:tabs>
        <w:ind w:left="5760" w:hanging="360"/>
      </w:pPr>
      <w:rPr>
        <w:rFonts w:ascii="Arial" w:hAnsi="Arial" w:hint="default"/>
      </w:rPr>
    </w:lvl>
    <w:lvl w:ilvl="8" w:tplc="20D282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6C9556B"/>
    <w:multiLevelType w:val="hybridMultilevel"/>
    <w:tmpl w:val="7E088E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3D"/>
    <w:rsid w:val="00003C40"/>
    <w:rsid w:val="0001067A"/>
    <w:rsid w:val="00013041"/>
    <w:rsid w:val="00014934"/>
    <w:rsid w:val="00023795"/>
    <w:rsid w:val="000462ED"/>
    <w:rsid w:val="00050643"/>
    <w:rsid w:val="00057795"/>
    <w:rsid w:val="00067127"/>
    <w:rsid w:val="00072DDF"/>
    <w:rsid w:val="000778C7"/>
    <w:rsid w:val="00097ABA"/>
    <w:rsid w:val="000A0A2A"/>
    <w:rsid w:val="000A2702"/>
    <w:rsid w:val="000B0052"/>
    <w:rsid w:val="000B0A6D"/>
    <w:rsid w:val="000B208B"/>
    <w:rsid w:val="000B2D20"/>
    <w:rsid w:val="000B5665"/>
    <w:rsid w:val="000B646C"/>
    <w:rsid w:val="000C0189"/>
    <w:rsid w:val="000D1789"/>
    <w:rsid w:val="000D2F2D"/>
    <w:rsid w:val="000D4F1E"/>
    <w:rsid w:val="000E2083"/>
    <w:rsid w:val="000E4407"/>
    <w:rsid w:val="000F1C53"/>
    <w:rsid w:val="000F34FF"/>
    <w:rsid w:val="00100695"/>
    <w:rsid w:val="00116D4D"/>
    <w:rsid w:val="00122687"/>
    <w:rsid w:val="0012401E"/>
    <w:rsid w:val="00130FBF"/>
    <w:rsid w:val="00144D67"/>
    <w:rsid w:val="00145BC7"/>
    <w:rsid w:val="00160A55"/>
    <w:rsid w:val="00167E8C"/>
    <w:rsid w:val="00180E16"/>
    <w:rsid w:val="0018296D"/>
    <w:rsid w:val="001851CE"/>
    <w:rsid w:val="00185E0A"/>
    <w:rsid w:val="001B037C"/>
    <w:rsid w:val="001C29CC"/>
    <w:rsid w:val="001C4E77"/>
    <w:rsid w:val="001C7FB7"/>
    <w:rsid w:val="001E1068"/>
    <w:rsid w:val="001E29CE"/>
    <w:rsid w:val="002058A0"/>
    <w:rsid w:val="00220C9E"/>
    <w:rsid w:val="00235BC6"/>
    <w:rsid w:val="00240519"/>
    <w:rsid w:val="00245C53"/>
    <w:rsid w:val="0024708C"/>
    <w:rsid w:val="00264C62"/>
    <w:rsid w:val="00266B1F"/>
    <w:rsid w:val="00274EBE"/>
    <w:rsid w:val="00275368"/>
    <w:rsid w:val="002808E4"/>
    <w:rsid w:val="002847E4"/>
    <w:rsid w:val="00287F2D"/>
    <w:rsid w:val="00290A2D"/>
    <w:rsid w:val="0029113F"/>
    <w:rsid w:val="002957A2"/>
    <w:rsid w:val="002B6B13"/>
    <w:rsid w:val="002C06FC"/>
    <w:rsid w:val="002C1200"/>
    <w:rsid w:val="002F0BEC"/>
    <w:rsid w:val="002F2709"/>
    <w:rsid w:val="003027A7"/>
    <w:rsid w:val="003146D8"/>
    <w:rsid w:val="003155C6"/>
    <w:rsid w:val="003332CB"/>
    <w:rsid w:val="003333D1"/>
    <w:rsid w:val="003546AD"/>
    <w:rsid w:val="003729FE"/>
    <w:rsid w:val="0038223A"/>
    <w:rsid w:val="00390553"/>
    <w:rsid w:val="00395345"/>
    <w:rsid w:val="003A77A0"/>
    <w:rsid w:val="003B05A6"/>
    <w:rsid w:val="003B4559"/>
    <w:rsid w:val="003B4B87"/>
    <w:rsid w:val="003B67AB"/>
    <w:rsid w:val="003D52A5"/>
    <w:rsid w:val="003E186B"/>
    <w:rsid w:val="003F7674"/>
    <w:rsid w:val="004066B5"/>
    <w:rsid w:val="004175FF"/>
    <w:rsid w:val="0042311C"/>
    <w:rsid w:val="004435F7"/>
    <w:rsid w:val="00445F2C"/>
    <w:rsid w:val="00451525"/>
    <w:rsid w:val="00452054"/>
    <w:rsid w:val="004641AF"/>
    <w:rsid w:val="00470FCD"/>
    <w:rsid w:val="00494FD5"/>
    <w:rsid w:val="00495FB5"/>
    <w:rsid w:val="004A3CBB"/>
    <w:rsid w:val="004B01CD"/>
    <w:rsid w:val="004D7E1A"/>
    <w:rsid w:val="00521156"/>
    <w:rsid w:val="0053653D"/>
    <w:rsid w:val="00536637"/>
    <w:rsid w:val="00537998"/>
    <w:rsid w:val="00543AE2"/>
    <w:rsid w:val="00544ADE"/>
    <w:rsid w:val="00555AA3"/>
    <w:rsid w:val="00580183"/>
    <w:rsid w:val="00584D10"/>
    <w:rsid w:val="005923A6"/>
    <w:rsid w:val="005A2CCA"/>
    <w:rsid w:val="005B2EDE"/>
    <w:rsid w:val="005B42AF"/>
    <w:rsid w:val="005B530F"/>
    <w:rsid w:val="005D5351"/>
    <w:rsid w:val="005D7EEB"/>
    <w:rsid w:val="005E23DD"/>
    <w:rsid w:val="005E7D3A"/>
    <w:rsid w:val="005F413C"/>
    <w:rsid w:val="00602780"/>
    <w:rsid w:val="00605327"/>
    <w:rsid w:val="00624209"/>
    <w:rsid w:val="00641FEA"/>
    <w:rsid w:val="00647221"/>
    <w:rsid w:val="00656318"/>
    <w:rsid w:val="0066090F"/>
    <w:rsid w:val="00663505"/>
    <w:rsid w:val="006674F1"/>
    <w:rsid w:val="00667D11"/>
    <w:rsid w:val="00672BE2"/>
    <w:rsid w:val="006A0CFB"/>
    <w:rsid w:val="006A6553"/>
    <w:rsid w:val="006B332F"/>
    <w:rsid w:val="006B4CCB"/>
    <w:rsid w:val="006C1C48"/>
    <w:rsid w:val="006C3CD1"/>
    <w:rsid w:val="006D0093"/>
    <w:rsid w:val="006F0D3F"/>
    <w:rsid w:val="006F257E"/>
    <w:rsid w:val="007235AD"/>
    <w:rsid w:val="007508AF"/>
    <w:rsid w:val="00766D84"/>
    <w:rsid w:val="0077231D"/>
    <w:rsid w:val="00774764"/>
    <w:rsid w:val="007A28E1"/>
    <w:rsid w:val="007A3B75"/>
    <w:rsid w:val="007A5094"/>
    <w:rsid w:val="007A63F3"/>
    <w:rsid w:val="007B3188"/>
    <w:rsid w:val="007B4AF5"/>
    <w:rsid w:val="007B54D2"/>
    <w:rsid w:val="007C7723"/>
    <w:rsid w:val="007E672A"/>
    <w:rsid w:val="00826E4A"/>
    <w:rsid w:val="008362DD"/>
    <w:rsid w:val="00843219"/>
    <w:rsid w:val="00845190"/>
    <w:rsid w:val="00850801"/>
    <w:rsid w:val="008509EA"/>
    <w:rsid w:val="008540FE"/>
    <w:rsid w:val="00866D9D"/>
    <w:rsid w:val="00873619"/>
    <w:rsid w:val="0087544C"/>
    <w:rsid w:val="00876DF8"/>
    <w:rsid w:val="008944C7"/>
    <w:rsid w:val="008952BA"/>
    <w:rsid w:val="008A0F23"/>
    <w:rsid w:val="008A5114"/>
    <w:rsid w:val="008C5DF8"/>
    <w:rsid w:val="008D5534"/>
    <w:rsid w:val="008E0DF9"/>
    <w:rsid w:val="00903A7E"/>
    <w:rsid w:val="00907EC5"/>
    <w:rsid w:val="00920881"/>
    <w:rsid w:val="00931678"/>
    <w:rsid w:val="00956A7C"/>
    <w:rsid w:val="00962933"/>
    <w:rsid w:val="00975ACD"/>
    <w:rsid w:val="00976035"/>
    <w:rsid w:val="00987C11"/>
    <w:rsid w:val="009B57E1"/>
    <w:rsid w:val="009B7066"/>
    <w:rsid w:val="009C30FB"/>
    <w:rsid w:val="009C70D3"/>
    <w:rsid w:val="009D6D3D"/>
    <w:rsid w:val="009E1533"/>
    <w:rsid w:val="009E6149"/>
    <w:rsid w:val="00A07B29"/>
    <w:rsid w:val="00A10007"/>
    <w:rsid w:val="00A15231"/>
    <w:rsid w:val="00A22AD8"/>
    <w:rsid w:val="00A2306E"/>
    <w:rsid w:val="00A26D4A"/>
    <w:rsid w:val="00A36D00"/>
    <w:rsid w:val="00A37CF1"/>
    <w:rsid w:val="00A509B0"/>
    <w:rsid w:val="00A52B9C"/>
    <w:rsid w:val="00A55277"/>
    <w:rsid w:val="00A56076"/>
    <w:rsid w:val="00A57E9F"/>
    <w:rsid w:val="00A66F4C"/>
    <w:rsid w:val="00A67797"/>
    <w:rsid w:val="00A8532F"/>
    <w:rsid w:val="00A93EEA"/>
    <w:rsid w:val="00A944C1"/>
    <w:rsid w:val="00A9490C"/>
    <w:rsid w:val="00AB7653"/>
    <w:rsid w:val="00AC0366"/>
    <w:rsid w:val="00AC12D5"/>
    <w:rsid w:val="00AC1CA3"/>
    <w:rsid w:val="00AC25D1"/>
    <w:rsid w:val="00AC449C"/>
    <w:rsid w:val="00AE553A"/>
    <w:rsid w:val="00B16E75"/>
    <w:rsid w:val="00B24740"/>
    <w:rsid w:val="00B34713"/>
    <w:rsid w:val="00B56127"/>
    <w:rsid w:val="00B84C78"/>
    <w:rsid w:val="00B93DE0"/>
    <w:rsid w:val="00BB3057"/>
    <w:rsid w:val="00BB784F"/>
    <w:rsid w:val="00BC45AF"/>
    <w:rsid w:val="00BD072F"/>
    <w:rsid w:val="00BD7458"/>
    <w:rsid w:val="00BF1B85"/>
    <w:rsid w:val="00C274E6"/>
    <w:rsid w:val="00C34ADD"/>
    <w:rsid w:val="00C60844"/>
    <w:rsid w:val="00C7620A"/>
    <w:rsid w:val="00C84639"/>
    <w:rsid w:val="00C94195"/>
    <w:rsid w:val="00CA0E25"/>
    <w:rsid w:val="00CB007B"/>
    <w:rsid w:val="00CB09E3"/>
    <w:rsid w:val="00CB0E29"/>
    <w:rsid w:val="00CB7189"/>
    <w:rsid w:val="00CE2895"/>
    <w:rsid w:val="00CF575B"/>
    <w:rsid w:val="00CF703D"/>
    <w:rsid w:val="00D06E6E"/>
    <w:rsid w:val="00D2414A"/>
    <w:rsid w:val="00D430A2"/>
    <w:rsid w:val="00D57C59"/>
    <w:rsid w:val="00D70CF7"/>
    <w:rsid w:val="00D82854"/>
    <w:rsid w:val="00D95847"/>
    <w:rsid w:val="00D97751"/>
    <w:rsid w:val="00DC0032"/>
    <w:rsid w:val="00DC146E"/>
    <w:rsid w:val="00DC5F52"/>
    <w:rsid w:val="00DC657E"/>
    <w:rsid w:val="00DE09CB"/>
    <w:rsid w:val="00DE5437"/>
    <w:rsid w:val="00DE646D"/>
    <w:rsid w:val="00E02B54"/>
    <w:rsid w:val="00E10491"/>
    <w:rsid w:val="00E11F5E"/>
    <w:rsid w:val="00E1777F"/>
    <w:rsid w:val="00E202E3"/>
    <w:rsid w:val="00E2509F"/>
    <w:rsid w:val="00E257B6"/>
    <w:rsid w:val="00E418A8"/>
    <w:rsid w:val="00E4563C"/>
    <w:rsid w:val="00E45C9F"/>
    <w:rsid w:val="00E46C70"/>
    <w:rsid w:val="00E6149D"/>
    <w:rsid w:val="00E64232"/>
    <w:rsid w:val="00E77FBF"/>
    <w:rsid w:val="00E86D23"/>
    <w:rsid w:val="00E93B45"/>
    <w:rsid w:val="00EA09F5"/>
    <w:rsid w:val="00EA3440"/>
    <w:rsid w:val="00EA4FC5"/>
    <w:rsid w:val="00EA5AA6"/>
    <w:rsid w:val="00EB1E49"/>
    <w:rsid w:val="00ED0B8E"/>
    <w:rsid w:val="00EE54B4"/>
    <w:rsid w:val="00EF4130"/>
    <w:rsid w:val="00EF63C2"/>
    <w:rsid w:val="00F0295B"/>
    <w:rsid w:val="00F029A1"/>
    <w:rsid w:val="00F11410"/>
    <w:rsid w:val="00F125BB"/>
    <w:rsid w:val="00F15946"/>
    <w:rsid w:val="00F236B5"/>
    <w:rsid w:val="00F33775"/>
    <w:rsid w:val="00F4136E"/>
    <w:rsid w:val="00F457AC"/>
    <w:rsid w:val="00F604A9"/>
    <w:rsid w:val="00F65DA2"/>
    <w:rsid w:val="00F8393D"/>
    <w:rsid w:val="00FB1CD7"/>
    <w:rsid w:val="00FE1092"/>
    <w:rsid w:val="00FF1611"/>
    <w:rsid w:val="00FF4425"/>
    <w:rsid w:val="02BAD3C8"/>
    <w:rsid w:val="133A84E9"/>
    <w:rsid w:val="1423C9BE"/>
    <w:rsid w:val="1CE9865C"/>
    <w:rsid w:val="1D6C3D03"/>
    <w:rsid w:val="203E2A28"/>
    <w:rsid w:val="26E5B322"/>
    <w:rsid w:val="2B92242C"/>
    <w:rsid w:val="2BFE3EDB"/>
    <w:rsid w:val="302A168B"/>
    <w:rsid w:val="302DD19D"/>
    <w:rsid w:val="307AA88E"/>
    <w:rsid w:val="32B601D4"/>
    <w:rsid w:val="38A89A0A"/>
    <w:rsid w:val="39DDD728"/>
    <w:rsid w:val="3BB608AA"/>
    <w:rsid w:val="4166E3B9"/>
    <w:rsid w:val="45F5D3D6"/>
    <w:rsid w:val="46CC4BCF"/>
    <w:rsid w:val="4C7EE0A1"/>
    <w:rsid w:val="4C992C18"/>
    <w:rsid w:val="53229433"/>
    <w:rsid w:val="55466D8C"/>
    <w:rsid w:val="57B7971E"/>
    <w:rsid w:val="58D6CB83"/>
    <w:rsid w:val="5AA4A16E"/>
    <w:rsid w:val="5D2CD41C"/>
    <w:rsid w:val="60E49CF2"/>
    <w:rsid w:val="62C71790"/>
    <w:rsid w:val="68EC31FA"/>
    <w:rsid w:val="68F5689F"/>
    <w:rsid w:val="6B231B36"/>
    <w:rsid w:val="6B2A0A0D"/>
    <w:rsid w:val="6C014BFB"/>
    <w:rsid w:val="6F3FDC04"/>
    <w:rsid w:val="75C9266A"/>
    <w:rsid w:val="791DF9E0"/>
    <w:rsid w:val="7D210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BA8ABD"/>
  <w15:docId w15:val="{4E42B432-569B-4C63-A4B3-A4FFB678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D2"/>
    <w:rPr>
      <w:rFonts w:ascii="Segoe UI" w:hAnsi="Segoe UI" w:cs="Segoe UI"/>
      <w:sz w:val="18"/>
      <w:szCs w:val="18"/>
    </w:rPr>
  </w:style>
  <w:style w:type="character" w:styleId="Hyperlink">
    <w:name w:val="Hyperlink"/>
    <w:basedOn w:val="DefaultParagraphFont"/>
    <w:uiPriority w:val="99"/>
    <w:unhideWhenUsed/>
    <w:rsid w:val="008E0DF9"/>
    <w:rPr>
      <w:color w:val="0563C1" w:themeColor="hyperlink"/>
      <w:u w:val="single"/>
    </w:rPr>
  </w:style>
  <w:style w:type="character" w:customStyle="1" w:styleId="NichtaufgelsteErwhnung1">
    <w:name w:val="Nicht aufgelöste Erwähnung1"/>
    <w:basedOn w:val="DefaultParagraphFont"/>
    <w:uiPriority w:val="99"/>
    <w:semiHidden/>
    <w:unhideWhenUsed/>
    <w:rsid w:val="008E0DF9"/>
    <w:rPr>
      <w:color w:val="808080"/>
      <w:shd w:val="clear" w:color="auto" w:fill="E6E6E6"/>
    </w:rPr>
  </w:style>
  <w:style w:type="character" w:styleId="CommentReference">
    <w:name w:val="annotation reference"/>
    <w:basedOn w:val="DefaultParagraphFont"/>
    <w:uiPriority w:val="99"/>
    <w:semiHidden/>
    <w:unhideWhenUsed/>
    <w:rsid w:val="004175FF"/>
    <w:rPr>
      <w:sz w:val="16"/>
      <w:szCs w:val="16"/>
    </w:rPr>
  </w:style>
  <w:style w:type="paragraph" w:styleId="CommentText">
    <w:name w:val="annotation text"/>
    <w:basedOn w:val="Normal"/>
    <w:link w:val="CommentTextChar"/>
    <w:uiPriority w:val="99"/>
    <w:semiHidden/>
    <w:unhideWhenUsed/>
    <w:rsid w:val="004175FF"/>
    <w:pPr>
      <w:spacing w:line="240" w:lineRule="auto"/>
    </w:pPr>
    <w:rPr>
      <w:sz w:val="20"/>
      <w:szCs w:val="20"/>
    </w:rPr>
  </w:style>
  <w:style w:type="character" w:customStyle="1" w:styleId="CommentTextChar">
    <w:name w:val="Comment Text Char"/>
    <w:basedOn w:val="DefaultParagraphFont"/>
    <w:link w:val="CommentText"/>
    <w:uiPriority w:val="99"/>
    <w:semiHidden/>
    <w:rsid w:val="004175FF"/>
    <w:rPr>
      <w:sz w:val="20"/>
      <w:szCs w:val="20"/>
    </w:rPr>
  </w:style>
  <w:style w:type="paragraph" w:styleId="CommentSubject">
    <w:name w:val="annotation subject"/>
    <w:basedOn w:val="CommentText"/>
    <w:next w:val="CommentText"/>
    <w:link w:val="CommentSubjectChar"/>
    <w:uiPriority w:val="99"/>
    <w:semiHidden/>
    <w:unhideWhenUsed/>
    <w:rsid w:val="004175FF"/>
    <w:rPr>
      <w:b/>
      <w:bCs/>
    </w:rPr>
  </w:style>
  <w:style w:type="character" w:customStyle="1" w:styleId="CommentSubjectChar">
    <w:name w:val="Comment Subject Char"/>
    <w:basedOn w:val="CommentTextChar"/>
    <w:link w:val="CommentSubject"/>
    <w:uiPriority w:val="99"/>
    <w:semiHidden/>
    <w:rsid w:val="004175FF"/>
    <w:rPr>
      <w:b/>
      <w:bCs/>
      <w:sz w:val="20"/>
      <w:szCs w:val="20"/>
    </w:rPr>
  </w:style>
  <w:style w:type="paragraph" w:styleId="ListParagraph">
    <w:name w:val="List Paragraph"/>
    <w:basedOn w:val="Normal"/>
    <w:uiPriority w:val="34"/>
    <w:qFormat/>
    <w:rsid w:val="003A77A0"/>
    <w:pPr>
      <w:ind w:left="720"/>
      <w:contextualSpacing/>
    </w:pPr>
  </w:style>
  <w:style w:type="paragraph" w:styleId="Revision">
    <w:name w:val="Revision"/>
    <w:hidden/>
    <w:uiPriority w:val="99"/>
    <w:semiHidden/>
    <w:rsid w:val="00AC1CA3"/>
    <w:pPr>
      <w:spacing w:after="0" w:line="240" w:lineRule="auto"/>
    </w:pPr>
  </w:style>
  <w:style w:type="paragraph" w:styleId="Header">
    <w:name w:val="header"/>
    <w:basedOn w:val="Normal"/>
    <w:link w:val="HeaderChar"/>
    <w:uiPriority w:val="99"/>
    <w:unhideWhenUsed/>
    <w:rsid w:val="00EF41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4130"/>
  </w:style>
  <w:style w:type="paragraph" w:styleId="Footer">
    <w:name w:val="footer"/>
    <w:basedOn w:val="Normal"/>
    <w:link w:val="FooterChar"/>
    <w:uiPriority w:val="99"/>
    <w:unhideWhenUsed/>
    <w:rsid w:val="00EF41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4130"/>
  </w:style>
  <w:style w:type="table" w:styleId="TableGrid">
    <w:name w:val="Table Grid"/>
    <w:basedOn w:val="TableNormal"/>
    <w:rsid w:val="00EF413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2F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2453">
      <w:bodyDiv w:val="1"/>
      <w:marLeft w:val="0"/>
      <w:marRight w:val="0"/>
      <w:marTop w:val="0"/>
      <w:marBottom w:val="0"/>
      <w:divBdr>
        <w:top w:val="none" w:sz="0" w:space="0" w:color="auto"/>
        <w:left w:val="none" w:sz="0" w:space="0" w:color="auto"/>
        <w:bottom w:val="none" w:sz="0" w:space="0" w:color="auto"/>
        <w:right w:val="none" w:sz="0" w:space="0" w:color="auto"/>
      </w:divBdr>
      <w:divsChild>
        <w:div w:id="1108038635">
          <w:marLeft w:val="0"/>
          <w:marRight w:val="0"/>
          <w:marTop w:val="0"/>
          <w:marBottom w:val="120"/>
          <w:divBdr>
            <w:top w:val="none" w:sz="0" w:space="0" w:color="auto"/>
            <w:left w:val="none" w:sz="0" w:space="0" w:color="auto"/>
            <w:bottom w:val="none" w:sz="0" w:space="0" w:color="auto"/>
            <w:right w:val="none" w:sz="0" w:space="0" w:color="auto"/>
          </w:divBdr>
        </w:div>
        <w:div w:id="1576280825">
          <w:marLeft w:val="0"/>
          <w:marRight w:val="0"/>
          <w:marTop w:val="0"/>
          <w:marBottom w:val="120"/>
          <w:divBdr>
            <w:top w:val="none" w:sz="0" w:space="0" w:color="auto"/>
            <w:left w:val="none" w:sz="0" w:space="0" w:color="auto"/>
            <w:bottom w:val="none" w:sz="0" w:space="0" w:color="auto"/>
            <w:right w:val="none" w:sz="0" w:space="0" w:color="auto"/>
          </w:divBdr>
        </w:div>
        <w:div w:id="952203549">
          <w:marLeft w:val="0"/>
          <w:marRight w:val="0"/>
          <w:marTop w:val="0"/>
          <w:marBottom w:val="120"/>
          <w:divBdr>
            <w:top w:val="none" w:sz="0" w:space="0" w:color="auto"/>
            <w:left w:val="none" w:sz="0" w:space="0" w:color="auto"/>
            <w:bottom w:val="none" w:sz="0" w:space="0" w:color="auto"/>
            <w:right w:val="none" w:sz="0" w:space="0" w:color="auto"/>
          </w:divBdr>
        </w:div>
        <w:div w:id="814184410">
          <w:marLeft w:val="0"/>
          <w:marRight w:val="0"/>
          <w:marTop w:val="0"/>
          <w:marBottom w:val="120"/>
          <w:divBdr>
            <w:top w:val="none" w:sz="0" w:space="0" w:color="auto"/>
            <w:left w:val="none" w:sz="0" w:space="0" w:color="auto"/>
            <w:bottom w:val="none" w:sz="0" w:space="0" w:color="auto"/>
            <w:right w:val="none" w:sz="0" w:space="0" w:color="auto"/>
          </w:divBdr>
        </w:div>
      </w:divsChild>
    </w:div>
    <w:div w:id="342754870">
      <w:bodyDiv w:val="1"/>
      <w:marLeft w:val="0"/>
      <w:marRight w:val="0"/>
      <w:marTop w:val="0"/>
      <w:marBottom w:val="0"/>
      <w:divBdr>
        <w:top w:val="none" w:sz="0" w:space="0" w:color="auto"/>
        <w:left w:val="none" w:sz="0" w:space="0" w:color="auto"/>
        <w:bottom w:val="none" w:sz="0" w:space="0" w:color="auto"/>
        <w:right w:val="none" w:sz="0" w:space="0" w:color="auto"/>
      </w:divBdr>
    </w:div>
    <w:div w:id="523907681">
      <w:bodyDiv w:val="1"/>
      <w:marLeft w:val="0"/>
      <w:marRight w:val="0"/>
      <w:marTop w:val="0"/>
      <w:marBottom w:val="0"/>
      <w:divBdr>
        <w:top w:val="none" w:sz="0" w:space="0" w:color="auto"/>
        <w:left w:val="none" w:sz="0" w:space="0" w:color="auto"/>
        <w:bottom w:val="none" w:sz="0" w:space="0" w:color="auto"/>
        <w:right w:val="none" w:sz="0" w:space="0" w:color="auto"/>
      </w:divBdr>
    </w:div>
    <w:div w:id="875504615">
      <w:bodyDiv w:val="1"/>
      <w:marLeft w:val="0"/>
      <w:marRight w:val="0"/>
      <w:marTop w:val="0"/>
      <w:marBottom w:val="0"/>
      <w:divBdr>
        <w:top w:val="none" w:sz="0" w:space="0" w:color="auto"/>
        <w:left w:val="none" w:sz="0" w:space="0" w:color="auto"/>
        <w:bottom w:val="none" w:sz="0" w:space="0" w:color="auto"/>
        <w:right w:val="none" w:sz="0" w:space="0" w:color="auto"/>
      </w:divBdr>
    </w:div>
    <w:div w:id="1267616037">
      <w:bodyDiv w:val="1"/>
      <w:marLeft w:val="0"/>
      <w:marRight w:val="0"/>
      <w:marTop w:val="0"/>
      <w:marBottom w:val="0"/>
      <w:divBdr>
        <w:top w:val="none" w:sz="0" w:space="0" w:color="auto"/>
        <w:left w:val="none" w:sz="0" w:space="0" w:color="auto"/>
        <w:bottom w:val="none" w:sz="0" w:space="0" w:color="auto"/>
        <w:right w:val="none" w:sz="0" w:space="0" w:color="auto"/>
      </w:divBdr>
    </w:div>
    <w:div w:id="1294024281">
      <w:bodyDiv w:val="1"/>
      <w:marLeft w:val="0"/>
      <w:marRight w:val="0"/>
      <w:marTop w:val="0"/>
      <w:marBottom w:val="0"/>
      <w:divBdr>
        <w:top w:val="none" w:sz="0" w:space="0" w:color="auto"/>
        <w:left w:val="none" w:sz="0" w:space="0" w:color="auto"/>
        <w:bottom w:val="none" w:sz="0" w:space="0" w:color="auto"/>
        <w:right w:val="none" w:sz="0" w:space="0" w:color="auto"/>
      </w:divBdr>
      <w:divsChild>
        <w:div w:id="1241987648">
          <w:marLeft w:val="274"/>
          <w:marRight w:val="0"/>
          <w:marTop w:val="0"/>
          <w:marBottom w:val="120"/>
          <w:divBdr>
            <w:top w:val="none" w:sz="0" w:space="0" w:color="auto"/>
            <w:left w:val="none" w:sz="0" w:space="0" w:color="auto"/>
            <w:bottom w:val="none" w:sz="0" w:space="0" w:color="auto"/>
            <w:right w:val="none" w:sz="0" w:space="0" w:color="auto"/>
          </w:divBdr>
        </w:div>
      </w:divsChild>
    </w:div>
    <w:div w:id="1636908906">
      <w:bodyDiv w:val="1"/>
      <w:marLeft w:val="0"/>
      <w:marRight w:val="0"/>
      <w:marTop w:val="0"/>
      <w:marBottom w:val="0"/>
      <w:divBdr>
        <w:top w:val="none" w:sz="0" w:space="0" w:color="auto"/>
        <w:left w:val="none" w:sz="0" w:space="0" w:color="auto"/>
        <w:bottom w:val="none" w:sz="0" w:space="0" w:color="auto"/>
        <w:right w:val="none" w:sz="0" w:space="0" w:color="auto"/>
      </w:divBdr>
      <w:divsChild>
        <w:div w:id="1101683771">
          <w:marLeft w:val="0"/>
          <w:marRight w:val="0"/>
          <w:marTop w:val="0"/>
          <w:marBottom w:val="120"/>
          <w:divBdr>
            <w:top w:val="none" w:sz="0" w:space="0" w:color="auto"/>
            <w:left w:val="none" w:sz="0" w:space="0" w:color="auto"/>
            <w:bottom w:val="none" w:sz="0" w:space="0" w:color="auto"/>
            <w:right w:val="none" w:sz="0" w:space="0" w:color="auto"/>
          </w:divBdr>
        </w:div>
      </w:divsChild>
    </w:div>
    <w:div w:id="1648435934">
      <w:bodyDiv w:val="1"/>
      <w:marLeft w:val="0"/>
      <w:marRight w:val="0"/>
      <w:marTop w:val="0"/>
      <w:marBottom w:val="0"/>
      <w:divBdr>
        <w:top w:val="none" w:sz="0" w:space="0" w:color="auto"/>
        <w:left w:val="none" w:sz="0" w:space="0" w:color="auto"/>
        <w:bottom w:val="none" w:sz="0" w:space="0" w:color="auto"/>
        <w:right w:val="none" w:sz="0" w:space="0" w:color="auto"/>
      </w:divBdr>
      <w:divsChild>
        <w:div w:id="1914389982">
          <w:marLeft w:val="0"/>
          <w:marRight w:val="0"/>
          <w:marTop w:val="0"/>
          <w:marBottom w:val="0"/>
          <w:divBdr>
            <w:top w:val="none" w:sz="0" w:space="0" w:color="auto"/>
            <w:left w:val="none" w:sz="0" w:space="0" w:color="auto"/>
            <w:bottom w:val="none" w:sz="0" w:space="0" w:color="auto"/>
            <w:right w:val="none" w:sz="0" w:space="0" w:color="auto"/>
          </w:divBdr>
          <w:divsChild>
            <w:div w:id="474294995">
              <w:marLeft w:val="0"/>
              <w:marRight w:val="0"/>
              <w:marTop w:val="0"/>
              <w:marBottom w:val="0"/>
              <w:divBdr>
                <w:top w:val="none" w:sz="0" w:space="0" w:color="auto"/>
                <w:left w:val="none" w:sz="0" w:space="0" w:color="auto"/>
                <w:bottom w:val="none" w:sz="0" w:space="0" w:color="auto"/>
                <w:right w:val="none" w:sz="0" w:space="0" w:color="auto"/>
              </w:divBdr>
              <w:divsChild>
                <w:div w:id="1358462345">
                  <w:marLeft w:val="0"/>
                  <w:marRight w:val="0"/>
                  <w:marTop w:val="0"/>
                  <w:marBottom w:val="0"/>
                  <w:divBdr>
                    <w:top w:val="none" w:sz="0" w:space="0" w:color="auto"/>
                    <w:left w:val="none" w:sz="0" w:space="0" w:color="auto"/>
                    <w:bottom w:val="none" w:sz="0" w:space="0" w:color="auto"/>
                    <w:right w:val="none" w:sz="0" w:space="0" w:color="auto"/>
                  </w:divBdr>
                  <w:divsChild>
                    <w:div w:id="1324620247">
                      <w:marLeft w:val="0"/>
                      <w:marRight w:val="0"/>
                      <w:marTop w:val="0"/>
                      <w:marBottom w:val="0"/>
                      <w:divBdr>
                        <w:top w:val="none" w:sz="0" w:space="0" w:color="auto"/>
                        <w:left w:val="none" w:sz="0" w:space="0" w:color="auto"/>
                        <w:bottom w:val="none" w:sz="0" w:space="0" w:color="auto"/>
                        <w:right w:val="none" w:sz="0" w:space="0" w:color="auto"/>
                      </w:divBdr>
                      <w:divsChild>
                        <w:div w:id="1209561561">
                          <w:marLeft w:val="0"/>
                          <w:marRight w:val="0"/>
                          <w:marTop w:val="0"/>
                          <w:marBottom w:val="0"/>
                          <w:divBdr>
                            <w:top w:val="none" w:sz="0" w:space="0" w:color="auto"/>
                            <w:left w:val="none" w:sz="0" w:space="0" w:color="auto"/>
                            <w:bottom w:val="none" w:sz="0" w:space="0" w:color="auto"/>
                            <w:right w:val="none" w:sz="0" w:space="0" w:color="auto"/>
                          </w:divBdr>
                          <w:divsChild>
                            <w:div w:id="388765466">
                              <w:marLeft w:val="0"/>
                              <w:marRight w:val="5400"/>
                              <w:marTop w:val="0"/>
                              <w:marBottom w:val="0"/>
                              <w:divBdr>
                                <w:top w:val="none" w:sz="0" w:space="0" w:color="auto"/>
                                <w:left w:val="none" w:sz="0" w:space="0" w:color="auto"/>
                                <w:bottom w:val="none" w:sz="0" w:space="0" w:color="auto"/>
                                <w:right w:val="none" w:sz="0" w:space="0" w:color="auto"/>
                              </w:divBdr>
                              <w:divsChild>
                                <w:div w:id="2054231556">
                                  <w:marLeft w:val="0"/>
                                  <w:marRight w:val="0"/>
                                  <w:marTop w:val="0"/>
                                  <w:marBottom w:val="0"/>
                                  <w:divBdr>
                                    <w:top w:val="none" w:sz="0" w:space="0" w:color="auto"/>
                                    <w:left w:val="none" w:sz="0" w:space="0" w:color="auto"/>
                                    <w:bottom w:val="none" w:sz="0" w:space="0" w:color="auto"/>
                                    <w:right w:val="none" w:sz="0" w:space="0" w:color="auto"/>
                                  </w:divBdr>
                                  <w:divsChild>
                                    <w:div w:id="1210339253">
                                      <w:marLeft w:val="0"/>
                                      <w:marRight w:val="0"/>
                                      <w:marTop w:val="0"/>
                                      <w:marBottom w:val="300"/>
                                      <w:divBdr>
                                        <w:top w:val="none" w:sz="0" w:space="0" w:color="auto"/>
                                        <w:left w:val="none" w:sz="0" w:space="0" w:color="auto"/>
                                        <w:bottom w:val="none" w:sz="0" w:space="0" w:color="auto"/>
                                        <w:right w:val="none" w:sz="0" w:space="0" w:color="auto"/>
                                      </w:divBdr>
                                      <w:divsChild>
                                        <w:div w:id="706490183">
                                          <w:marLeft w:val="0"/>
                                          <w:marRight w:val="0"/>
                                          <w:marTop w:val="0"/>
                                          <w:marBottom w:val="0"/>
                                          <w:divBdr>
                                            <w:top w:val="none" w:sz="0" w:space="0" w:color="auto"/>
                                            <w:left w:val="none" w:sz="0" w:space="0" w:color="auto"/>
                                            <w:bottom w:val="none" w:sz="0" w:space="0" w:color="auto"/>
                                            <w:right w:val="none" w:sz="0" w:space="0" w:color="auto"/>
                                          </w:divBdr>
                                          <w:divsChild>
                                            <w:div w:id="14962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167844">
      <w:bodyDiv w:val="1"/>
      <w:marLeft w:val="0"/>
      <w:marRight w:val="0"/>
      <w:marTop w:val="0"/>
      <w:marBottom w:val="0"/>
      <w:divBdr>
        <w:top w:val="none" w:sz="0" w:space="0" w:color="auto"/>
        <w:left w:val="none" w:sz="0" w:space="0" w:color="auto"/>
        <w:bottom w:val="none" w:sz="0" w:space="0" w:color="auto"/>
        <w:right w:val="none" w:sz="0" w:space="0" w:color="auto"/>
      </w:divBdr>
      <w:divsChild>
        <w:div w:id="787817996">
          <w:marLeft w:val="288"/>
          <w:marRight w:val="0"/>
          <w:marTop w:val="0"/>
          <w:marBottom w:val="120"/>
          <w:divBdr>
            <w:top w:val="none" w:sz="0" w:space="0" w:color="auto"/>
            <w:left w:val="none" w:sz="0" w:space="0" w:color="auto"/>
            <w:bottom w:val="none" w:sz="0" w:space="0" w:color="auto"/>
            <w:right w:val="none" w:sz="0" w:space="0" w:color="auto"/>
          </w:divBdr>
        </w:div>
        <w:div w:id="1245529626">
          <w:marLeft w:val="562"/>
          <w:marRight w:val="0"/>
          <w:marTop w:val="0"/>
          <w:marBottom w:val="120"/>
          <w:divBdr>
            <w:top w:val="none" w:sz="0" w:space="0" w:color="auto"/>
            <w:left w:val="none" w:sz="0" w:space="0" w:color="auto"/>
            <w:bottom w:val="none" w:sz="0" w:space="0" w:color="auto"/>
            <w:right w:val="none" w:sz="0" w:space="0" w:color="auto"/>
          </w:divBdr>
        </w:div>
        <w:div w:id="2091659911">
          <w:marLeft w:val="562"/>
          <w:marRight w:val="0"/>
          <w:marTop w:val="0"/>
          <w:marBottom w:val="120"/>
          <w:divBdr>
            <w:top w:val="none" w:sz="0" w:space="0" w:color="auto"/>
            <w:left w:val="none" w:sz="0" w:space="0" w:color="auto"/>
            <w:bottom w:val="none" w:sz="0" w:space="0" w:color="auto"/>
            <w:right w:val="none" w:sz="0" w:space="0" w:color="auto"/>
          </w:divBdr>
        </w:div>
      </w:divsChild>
    </w:div>
    <w:div w:id="19586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lux.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62CA8F76BE6B4C8F0AF6B52D5E3806" ma:contentTypeVersion="8" ma:contentTypeDescription="Opret et nyt dokument." ma:contentTypeScope="" ma:versionID="4749cae088d2b06246c7b889271847c5">
  <xsd:schema xmlns:xsd="http://www.w3.org/2001/XMLSchema" xmlns:xs="http://www.w3.org/2001/XMLSchema" xmlns:p="http://schemas.microsoft.com/office/2006/metadata/properties" xmlns:ns2="a2d652a9-9658-42cf-b31b-d4d2ad0eafb9" xmlns:ns3="49c37c6a-6038-4dfa-8798-d65a35c7abad" targetNamespace="http://schemas.microsoft.com/office/2006/metadata/properties" ma:root="true" ma:fieldsID="3813c086fea16c646b9f36c3306beff3" ns2:_="" ns3:_="">
    <xsd:import namespace="a2d652a9-9658-42cf-b31b-d4d2ad0eafb9"/>
    <xsd:import namespace="49c37c6a-6038-4dfa-8798-d65a35c7ab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52a9-9658-42cf-b31b-d4d2ad0ea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37c6a-6038-4dfa-8798-d65a35c7aba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9c37c6a-6038-4dfa-8798-d65a35c7abad">
      <UserInfo>
        <DisplayName>Irene Brandt</DisplayName>
        <AccountId>56</AccountId>
        <AccountType/>
      </UserInfo>
      <UserInfo>
        <DisplayName>Jacob Kjeldgaard Olsen</DisplayName>
        <AccountId>6</AccountId>
        <AccountType/>
      </UserInfo>
      <UserInfo>
        <DisplayName>Jens Bekke</DisplayName>
        <AccountId>57</AccountId>
        <AccountType/>
      </UserInfo>
      <UserInfo>
        <DisplayName>Patrick W. McKenzie</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5F725-F31E-4683-9400-202BE858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652a9-9658-42cf-b31b-d4d2ad0eafb9"/>
    <ds:schemaRef ds:uri="49c37c6a-6038-4dfa-8798-d65a35c7a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B19CE-642B-45F9-92A6-853D479455BB}">
  <ds:schemaRefs>
    <ds:schemaRef ds:uri="http://purl.org/dc/terms/"/>
    <ds:schemaRef ds:uri="49c37c6a-6038-4dfa-8798-d65a35c7aba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2d652a9-9658-42cf-b31b-d4d2ad0eafb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35398C-2AA4-4A8D-B5A4-45DC33BDB872}">
  <ds:schemaRefs>
    <ds:schemaRef ds:uri="http://schemas.microsoft.com/sharepoint/v3/contenttype/forms"/>
  </ds:schemaRefs>
</ds:datastoreItem>
</file>

<file path=customXml/itemProps4.xml><?xml version="1.0" encoding="utf-8"?>
<ds:datastoreItem xmlns:ds="http://schemas.openxmlformats.org/officeDocument/2006/customXml" ds:itemID="{A5DA044B-21DD-4F51-9737-298AFC32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6820</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Bekke</dc:creator>
  <cp:keywords/>
  <dc:description/>
  <cp:lastModifiedBy>Christine Bjørnager</cp:lastModifiedBy>
  <cp:revision>5</cp:revision>
  <cp:lastPrinted>2019-01-08T11:32:00Z</cp:lastPrinted>
  <dcterms:created xsi:type="dcterms:W3CDTF">2019-01-10T12:05:00Z</dcterms:created>
  <dcterms:modified xsi:type="dcterms:W3CDTF">2019-01-10T15:25:00Z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0x0101007662CA8F76BE6B4C8F0AF6B52D5E3806</vt:lpwstr>
  </property>
</Properties>
</file>